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862C73" w:rsidRDefault="000470C5" w:rsidP="005A4F39">
      <w:pPr>
        <w:pStyle w:val="Header"/>
        <w:tabs>
          <w:tab w:val="right" w:pos="9072"/>
        </w:tabs>
        <w:rPr>
          <w:rFonts w:ascii="Arial" w:hAnsi="Arial" w:cs="Arial"/>
          <w:sz w:val="24"/>
          <w:szCs w:val="28"/>
          <w:lang w:val="en-CA"/>
        </w:rPr>
      </w:pPr>
      <w:r w:rsidRPr="00862C73">
        <w:rPr>
          <w:rFonts w:ascii="Arial" w:hAnsi="Arial" w:cs="Arial"/>
          <w:sz w:val="24"/>
          <w:szCs w:val="28"/>
          <w:lang w:val="en-CA"/>
        </w:rPr>
        <w:t>3GPP TSG RAN WG4 Meeting #8</w:t>
      </w:r>
      <w:r w:rsidR="004E07F7">
        <w:rPr>
          <w:rFonts w:ascii="Arial" w:hAnsi="Arial" w:cs="Arial"/>
          <w:sz w:val="24"/>
          <w:szCs w:val="28"/>
          <w:lang w:val="en-CA"/>
        </w:rPr>
        <w:t>4</w:t>
      </w:r>
      <w:r w:rsidR="00D80957" w:rsidRPr="00862C73">
        <w:rPr>
          <w:rFonts w:ascii="Arial" w:hAnsi="Arial" w:cs="Arial"/>
          <w:sz w:val="24"/>
          <w:szCs w:val="28"/>
          <w:lang w:val="en-CA"/>
        </w:rPr>
        <w:tab/>
      </w:r>
      <w:r w:rsidR="00AA7522" w:rsidRPr="00862C73">
        <w:rPr>
          <w:rFonts w:ascii="Arial" w:hAnsi="Arial" w:cs="Arial"/>
          <w:sz w:val="24"/>
          <w:szCs w:val="28"/>
          <w:lang w:val="en-CA"/>
        </w:rPr>
        <w:t>R4-17</w:t>
      </w:r>
      <w:r w:rsidR="003546C5" w:rsidRPr="00862C73">
        <w:rPr>
          <w:rFonts w:ascii="Arial" w:hAnsi="Arial" w:cs="Arial"/>
          <w:sz w:val="24"/>
          <w:szCs w:val="28"/>
          <w:lang w:val="en-CA"/>
        </w:rPr>
        <w:t>0</w:t>
      </w:r>
      <w:r w:rsidR="00674056">
        <w:rPr>
          <w:rFonts w:ascii="Arial" w:hAnsi="Arial" w:cs="Arial"/>
          <w:sz w:val="24"/>
          <w:szCs w:val="28"/>
          <w:lang w:val="en-CA"/>
        </w:rPr>
        <w:t>8321</w:t>
      </w:r>
    </w:p>
    <w:p w:rsidR="00D80957" w:rsidRPr="00862C73" w:rsidRDefault="004E07F7" w:rsidP="005A4F39">
      <w:pPr>
        <w:pStyle w:val="Header"/>
        <w:tabs>
          <w:tab w:val="right" w:pos="9072"/>
        </w:tabs>
        <w:rPr>
          <w:rFonts w:ascii="Arial" w:hAnsi="Arial" w:cs="Arial"/>
          <w:sz w:val="24"/>
          <w:szCs w:val="28"/>
          <w:lang w:val="en-CA"/>
        </w:rPr>
      </w:pPr>
      <w:r>
        <w:rPr>
          <w:rFonts w:ascii="Arial" w:hAnsi="Arial" w:cs="Arial"/>
          <w:sz w:val="24"/>
          <w:szCs w:val="28"/>
          <w:lang w:val="en-CA"/>
        </w:rPr>
        <w:t>Berlin</w:t>
      </w:r>
      <w:r w:rsidR="006F2C29" w:rsidRPr="00862C73">
        <w:rPr>
          <w:rFonts w:ascii="Arial" w:hAnsi="Arial" w:cs="Arial"/>
          <w:sz w:val="24"/>
          <w:szCs w:val="28"/>
          <w:lang w:val="en-CA"/>
        </w:rPr>
        <w:t xml:space="preserve">, </w:t>
      </w:r>
      <w:r>
        <w:rPr>
          <w:rFonts w:ascii="Arial" w:hAnsi="Arial" w:cs="Arial"/>
          <w:sz w:val="24"/>
          <w:szCs w:val="28"/>
          <w:lang w:val="en-CA"/>
        </w:rPr>
        <w:t>Germany</w:t>
      </w:r>
      <w:r w:rsidR="006F2C29" w:rsidRPr="00862C73">
        <w:rPr>
          <w:rFonts w:ascii="Arial" w:hAnsi="Arial" w:cs="Arial"/>
          <w:sz w:val="24"/>
          <w:szCs w:val="28"/>
          <w:lang w:val="en-CA"/>
        </w:rPr>
        <w:t xml:space="preserve">, </w:t>
      </w:r>
      <w:r>
        <w:rPr>
          <w:rFonts w:ascii="Arial" w:hAnsi="Arial" w:cs="Arial"/>
          <w:sz w:val="24"/>
          <w:szCs w:val="28"/>
          <w:lang w:val="en-CA"/>
        </w:rPr>
        <w:t>August</w:t>
      </w:r>
      <w:r w:rsidR="006F2C29" w:rsidRPr="00862C73">
        <w:rPr>
          <w:rFonts w:ascii="Arial" w:hAnsi="Arial" w:cs="Arial"/>
          <w:sz w:val="24"/>
          <w:szCs w:val="28"/>
          <w:lang w:val="en-CA"/>
        </w:rPr>
        <w:t xml:space="preserve"> </w:t>
      </w:r>
      <w:r>
        <w:rPr>
          <w:rFonts w:ascii="Arial" w:hAnsi="Arial" w:cs="Arial"/>
          <w:sz w:val="24"/>
          <w:szCs w:val="28"/>
          <w:lang w:val="en-CA"/>
        </w:rPr>
        <w:t>21</w:t>
      </w:r>
      <w:r w:rsidR="006F2C29" w:rsidRPr="00862C73">
        <w:rPr>
          <w:rFonts w:ascii="Arial" w:hAnsi="Arial" w:cs="Arial"/>
          <w:sz w:val="24"/>
          <w:szCs w:val="28"/>
          <w:lang w:val="en-CA"/>
        </w:rPr>
        <w:t xml:space="preserve"> – </w:t>
      </w:r>
      <w:r>
        <w:rPr>
          <w:rFonts w:ascii="Arial" w:hAnsi="Arial" w:cs="Arial"/>
          <w:sz w:val="24"/>
          <w:szCs w:val="28"/>
          <w:lang w:val="en-CA"/>
        </w:rPr>
        <w:t>25</w:t>
      </w:r>
      <w:r w:rsidR="006F2C29" w:rsidRPr="00862C73">
        <w:rPr>
          <w:rFonts w:ascii="Arial" w:hAnsi="Arial" w:cs="Arial"/>
          <w:sz w:val="24"/>
          <w:szCs w:val="28"/>
          <w:lang w:val="en-CA"/>
        </w:rPr>
        <w:t>, 2017</w:t>
      </w:r>
    </w:p>
    <w:p w:rsidR="00D80957" w:rsidRPr="00862C73" w:rsidRDefault="00D80957" w:rsidP="0033186E">
      <w:pPr>
        <w:tabs>
          <w:tab w:val="left" w:pos="1985"/>
        </w:tabs>
        <w:spacing w:before="240" w:after="0"/>
        <w:jc w:val="both"/>
        <w:rPr>
          <w:rFonts w:ascii="Arial" w:hAnsi="Arial" w:cs="Arial"/>
          <w:bCs/>
          <w:sz w:val="22"/>
          <w:szCs w:val="22"/>
          <w:lang w:val="en-CA"/>
        </w:rPr>
      </w:pPr>
      <w:r w:rsidRPr="00862C73">
        <w:rPr>
          <w:rFonts w:ascii="Arial" w:hAnsi="Arial" w:cs="Arial"/>
          <w:b/>
          <w:sz w:val="22"/>
          <w:szCs w:val="22"/>
          <w:lang w:val="en-CA"/>
        </w:rPr>
        <w:t>Agenda Item:</w:t>
      </w:r>
      <w:r w:rsidRPr="00862C73">
        <w:rPr>
          <w:rFonts w:ascii="Arial" w:hAnsi="Arial" w:cs="Arial"/>
          <w:b/>
          <w:sz w:val="22"/>
          <w:szCs w:val="22"/>
          <w:lang w:val="en-CA"/>
        </w:rPr>
        <w:tab/>
      </w:r>
      <w:r w:rsidR="00674056">
        <w:rPr>
          <w:rFonts w:ascii="Arial" w:hAnsi="Arial" w:cs="Arial"/>
          <w:bCs/>
          <w:sz w:val="22"/>
          <w:szCs w:val="22"/>
          <w:lang w:val="en-CA"/>
        </w:rPr>
        <w:t>8.25.3.2</w:t>
      </w:r>
      <w:bookmarkStart w:id="0" w:name="_GoBack"/>
      <w:bookmarkEnd w:id="0"/>
    </w:p>
    <w:p w:rsidR="00D80957" w:rsidRPr="00862C73" w:rsidRDefault="00D80957" w:rsidP="0033186E">
      <w:pPr>
        <w:tabs>
          <w:tab w:val="left" w:pos="1985"/>
        </w:tabs>
        <w:spacing w:after="0"/>
        <w:jc w:val="both"/>
        <w:rPr>
          <w:rFonts w:ascii="Arial" w:hAnsi="Arial" w:cs="Arial"/>
          <w:b/>
          <w:sz w:val="22"/>
          <w:szCs w:val="22"/>
          <w:lang w:val="en-CA"/>
        </w:rPr>
      </w:pPr>
      <w:r w:rsidRPr="00862C73">
        <w:rPr>
          <w:rFonts w:ascii="Arial" w:hAnsi="Arial" w:cs="Arial"/>
          <w:b/>
          <w:sz w:val="22"/>
          <w:szCs w:val="22"/>
          <w:lang w:val="en-CA"/>
        </w:rPr>
        <w:t xml:space="preserve">Source: </w:t>
      </w:r>
      <w:r w:rsidRPr="00862C73">
        <w:rPr>
          <w:rFonts w:ascii="Arial" w:hAnsi="Arial" w:cs="Arial"/>
          <w:b/>
          <w:sz w:val="22"/>
          <w:szCs w:val="22"/>
          <w:lang w:val="en-CA"/>
        </w:rPr>
        <w:tab/>
      </w:r>
      <w:r w:rsidRPr="00862C73">
        <w:rPr>
          <w:rFonts w:ascii="Arial" w:hAnsi="Arial" w:cs="Arial"/>
          <w:bCs/>
          <w:sz w:val="22"/>
          <w:szCs w:val="22"/>
          <w:lang w:val="en-CA"/>
        </w:rPr>
        <w:t>Ericsson</w:t>
      </w:r>
    </w:p>
    <w:p w:rsidR="00D80957" w:rsidRPr="00862C73" w:rsidRDefault="00D80957" w:rsidP="00FE2AF6">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Title:</w:t>
      </w:r>
      <w:r w:rsidRPr="00862C73">
        <w:rPr>
          <w:rFonts w:ascii="Arial" w:hAnsi="Arial" w:cs="Arial"/>
          <w:sz w:val="22"/>
          <w:szCs w:val="22"/>
          <w:lang w:val="en-CA"/>
        </w:rPr>
        <w:tab/>
      </w:r>
      <w:r w:rsidR="00241CC6">
        <w:rPr>
          <w:rFonts w:ascii="Arial" w:hAnsi="Arial" w:cs="Arial"/>
          <w:sz w:val="22"/>
          <w:szCs w:val="22"/>
          <w:lang w:val="en-CA"/>
        </w:rPr>
        <w:t xml:space="preserve">On </w:t>
      </w:r>
      <w:r w:rsidR="00C72CC0">
        <w:rPr>
          <w:rFonts w:ascii="Arial" w:hAnsi="Arial" w:cs="Arial"/>
          <w:sz w:val="22"/>
          <w:szCs w:val="22"/>
          <w:lang w:val="en-CA"/>
        </w:rPr>
        <w:t>MI</w:t>
      </w:r>
      <w:r w:rsidR="00241CC6">
        <w:rPr>
          <w:rFonts w:ascii="Arial" w:hAnsi="Arial" w:cs="Arial"/>
          <w:sz w:val="22"/>
          <w:szCs w:val="22"/>
          <w:lang w:val="en-CA"/>
        </w:rPr>
        <w:t xml:space="preserve">B acquisition time in Rel-15 </w:t>
      </w:r>
      <w:r w:rsidR="000D719C">
        <w:rPr>
          <w:rFonts w:ascii="Arial" w:hAnsi="Arial" w:cs="Arial"/>
          <w:sz w:val="22"/>
          <w:szCs w:val="22"/>
          <w:lang w:val="en-CA"/>
        </w:rPr>
        <w:t xml:space="preserve">LTE </w:t>
      </w:r>
      <w:r w:rsidR="00241CC6">
        <w:rPr>
          <w:rFonts w:ascii="Arial" w:hAnsi="Arial" w:cs="Arial"/>
          <w:sz w:val="22"/>
          <w:szCs w:val="22"/>
          <w:lang w:val="en-CA"/>
        </w:rPr>
        <w:t>MTC</w:t>
      </w:r>
    </w:p>
    <w:p w:rsidR="00D80957" w:rsidRPr="00862C73" w:rsidRDefault="00D80957" w:rsidP="0033186E">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Document for:</w:t>
      </w:r>
      <w:r w:rsidR="0004190F" w:rsidRPr="00862C73">
        <w:rPr>
          <w:rFonts w:ascii="Arial" w:hAnsi="Arial" w:cs="Arial"/>
          <w:sz w:val="22"/>
          <w:szCs w:val="22"/>
          <w:lang w:val="en-CA"/>
        </w:rPr>
        <w:tab/>
      </w:r>
      <w:r w:rsidR="00F56366" w:rsidRPr="00862C73">
        <w:rPr>
          <w:rFonts w:ascii="Arial" w:hAnsi="Arial" w:cs="Arial"/>
          <w:sz w:val="22"/>
          <w:szCs w:val="22"/>
          <w:lang w:val="en-CA"/>
        </w:rPr>
        <w:t>Discussion</w:t>
      </w:r>
    </w:p>
    <w:p w:rsidR="00D80957" w:rsidRDefault="00D80957" w:rsidP="00BC3FE3">
      <w:pPr>
        <w:pStyle w:val="Heading1"/>
        <w:ind w:left="431" w:hanging="431"/>
        <w:rPr>
          <w:szCs w:val="36"/>
          <w:lang w:val="en-CA"/>
        </w:rPr>
      </w:pPr>
      <w:r w:rsidRPr="00862C73">
        <w:rPr>
          <w:szCs w:val="36"/>
          <w:lang w:val="en-CA"/>
        </w:rPr>
        <w:t>Introduction</w:t>
      </w:r>
      <w:bookmarkStart w:id="1" w:name="OLE_LINK13"/>
      <w:bookmarkStart w:id="2" w:name="OLE_LINK14"/>
    </w:p>
    <w:p w:rsidR="00F24B8C" w:rsidRDefault="00241CC6" w:rsidP="00F24B8C">
      <w:pPr>
        <w:jc w:val="both"/>
        <w:rPr>
          <w:bCs/>
          <w:sz w:val="22"/>
          <w:szCs w:val="22"/>
        </w:rPr>
      </w:pPr>
      <w:r w:rsidRPr="00241CC6">
        <w:rPr>
          <w:sz w:val="22"/>
          <w:szCs w:val="22"/>
          <w:lang w:val="en-CA"/>
        </w:rPr>
        <w:t xml:space="preserve">RAN4 has received an LS from RAN1 on improvements of SI acquisition time in Rel-15 MTC, as part of the </w:t>
      </w:r>
      <w:r w:rsidRPr="00241CC6">
        <w:rPr>
          <w:bCs/>
          <w:sz w:val="22"/>
          <w:szCs w:val="22"/>
        </w:rPr>
        <w:t>LTE_eMTC4 work item</w:t>
      </w:r>
      <w:r>
        <w:rPr>
          <w:bCs/>
          <w:sz w:val="22"/>
          <w:szCs w:val="22"/>
        </w:rPr>
        <w:t xml:space="preserve"> (even further enhanced MTC; efeMTC)</w:t>
      </w:r>
      <w:r w:rsidR="00F24B8C">
        <w:rPr>
          <w:bCs/>
          <w:sz w:val="22"/>
          <w:szCs w:val="22"/>
        </w:rPr>
        <w:t>. Improvements aiming at reducing the SI acquisition times are propose in the following areas: (i) PSS/SSS, (ii) PBCH, (iii) SIB1-BR and (iv) SI messages. Improvements may be on network side (redesign</w:t>
      </w:r>
      <w:r w:rsidR="004B1394">
        <w:rPr>
          <w:bCs/>
          <w:sz w:val="22"/>
          <w:szCs w:val="22"/>
        </w:rPr>
        <w:t xml:space="preserve"> or increased redundancy </w:t>
      </w:r>
      <w:r w:rsidR="00F24B8C">
        <w:rPr>
          <w:bCs/>
          <w:sz w:val="22"/>
          <w:szCs w:val="22"/>
        </w:rPr>
        <w:t>of signals</w:t>
      </w:r>
      <w:r w:rsidR="004B1394">
        <w:rPr>
          <w:bCs/>
          <w:sz w:val="22"/>
          <w:szCs w:val="22"/>
        </w:rPr>
        <w:t xml:space="preserve"> and channels</w:t>
      </w:r>
      <w:r w:rsidR="00F24B8C">
        <w:rPr>
          <w:bCs/>
          <w:sz w:val="22"/>
          <w:szCs w:val="22"/>
        </w:rPr>
        <w:t>), terminal side (improved algorithms), or both.</w:t>
      </w:r>
    </w:p>
    <w:p w:rsidR="00675B66" w:rsidRPr="000D719C" w:rsidRDefault="004B1394" w:rsidP="00675B66">
      <w:pPr>
        <w:rPr>
          <w:sz w:val="22"/>
          <w:szCs w:val="22"/>
        </w:rPr>
      </w:pPr>
      <w:r w:rsidRPr="004B1394">
        <w:rPr>
          <w:sz w:val="22"/>
          <w:szCs w:val="22"/>
        </w:rPr>
        <w:t xml:space="preserve">The LS from RAN1 </w:t>
      </w:r>
      <w:r w:rsidR="000D719C">
        <w:rPr>
          <w:sz w:val="22"/>
          <w:szCs w:val="22"/>
        </w:rPr>
        <w:t>states the following regarding improvements relating to PBCH:</w:t>
      </w:r>
      <w:r w:rsidR="00241CC6" w:rsidRPr="00675B66">
        <w:rPr>
          <w:noProof/>
          <w:sz w:val="22"/>
          <w:szCs w:val="22"/>
          <w:lang w:val="en-US"/>
        </w:rPr>
        <mc:AlternateContent>
          <mc:Choice Requires="wps">
            <w:drawing>
              <wp:anchor distT="45720" distB="45720" distL="114300" distR="114300" simplePos="0" relativeHeight="251659264" behindDoc="1" locked="0" layoutInCell="1" allowOverlap="0">
                <wp:simplePos x="0" y="0"/>
                <wp:positionH relativeFrom="column">
                  <wp:posOffset>108585</wp:posOffset>
                </wp:positionH>
                <wp:positionV relativeFrom="paragraph">
                  <wp:posOffset>289560</wp:posOffset>
                </wp:positionV>
                <wp:extent cx="6455410" cy="2581275"/>
                <wp:effectExtent l="0" t="0" r="21590"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5410" cy="2581275"/>
                        </a:xfrm>
                        <a:prstGeom prst="rect">
                          <a:avLst/>
                        </a:prstGeom>
                        <a:solidFill>
                          <a:srgbClr val="FFFFFF"/>
                        </a:solidFill>
                        <a:ln w="9525">
                          <a:solidFill>
                            <a:srgbClr val="000000"/>
                          </a:solidFill>
                          <a:miter lim="800000"/>
                          <a:headEnd/>
                          <a:tailEnd/>
                        </a:ln>
                      </wps:spPr>
                      <wps:txbx>
                        <w:txbxContent>
                          <w:p w:rsidR="00675B66" w:rsidRDefault="00675B66" w:rsidP="00675B66">
                            <w:pPr>
                              <w:rPr>
                                <w:rFonts w:ascii="Arial" w:eastAsia="MS Mincho" w:hAnsi="Arial" w:cs="Arial"/>
                                <w:iCs/>
                                <w:lang w:eastAsia="ja-JP"/>
                              </w:rPr>
                            </w:pPr>
                            <w:r>
                              <w:rPr>
                                <w:rFonts w:ascii="Arial" w:eastAsia="MS Mincho" w:hAnsi="Arial" w:cs="Arial"/>
                                <w:iCs/>
                                <w:lang w:eastAsia="ja-JP"/>
                              </w:rPr>
                              <w:t>RAN1#88bis and RAN1#89 made the following agreements regarding system acquisition time reduction for BL/CE UEs in Rel-15.</w:t>
                            </w:r>
                          </w:p>
                          <w:p w:rsidR="00675B66" w:rsidRDefault="00675B66" w:rsidP="00675B66">
                            <w:pPr>
                              <w:rPr>
                                <w:rFonts w:ascii="Arial" w:eastAsia="MS Mincho" w:hAnsi="Arial" w:cs="Arial"/>
                                <w:iCs/>
                                <w:lang w:eastAsia="ja-JP"/>
                              </w:rPr>
                            </w:pPr>
                          </w:p>
                          <w:p w:rsidR="00675B66" w:rsidRDefault="00675B66" w:rsidP="00675B66">
                            <w:pPr>
                              <w:numPr>
                                <w:ilvl w:val="0"/>
                                <w:numId w:val="49"/>
                              </w:numPr>
                              <w:spacing w:after="0"/>
                              <w:rPr>
                                <w:rFonts w:ascii="Arial" w:eastAsia="MS Mincho" w:hAnsi="Arial" w:cs="Arial"/>
                                <w:lang w:eastAsia="ja-JP"/>
                              </w:rPr>
                            </w:pPr>
                            <w:r>
                              <w:rPr>
                                <w:rFonts w:ascii="Arial" w:eastAsia="MS Mincho" w:hAnsi="Arial" w:cs="Arial"/>
                                <w:lang w:eastAsia="ja-JP"/>
                              </w:rPr>
                              <w:t>Techniques for system acquisition time reduction to be considered:</w:t>
                            </w:r>
                            <w:r w:rsidR="000D719C">
                              <w:rPr>
                                <w:rFonts w:ascii="Arial" w:eastAsia="MS Mincho" w:hAnsi="Arial" w:cs="Arial"/>
                                <w:lang w:eastAsia="ja-JP"/>
                              </w:rPr>
                              <w:br/>
                              <w:t>[…]</w:t>
                            </w:r>
                          </w:p>
                          <w:p w:rsidR="00675B66" w:rsidRDefault="00675B66" w:rsidP="00675B66">
                            <w:pPr>
                              <w:numPr>
                                <w:ilvl w:val="0"/>
                                <w:numId w:val="50"/>
                              </w:numPr>
                              <w:spacing w:after="0"/>
                              <w:rPr>
                                <w:rFonts w:ascii="Arial" w:eastAsia="MS Mincho" w:hAnsi="Arial" w:cs="Arial"/>
                                <w:lang w:eastAsia="ja-JP"/>
                              </w:rPr>
                            </w:pPr>
                            <w:r>
                              <w:rPr>
                                <w:rFonts w:ascii="Arial" w:eastAsia="MS Mincho" w:hAnsi="Arial" w:cs="Arial"/>
                                <w:lang w:eastAsia="ja-JP"/>
                              </w:rPr>
                              <w:t>PBCH</w:t>
                            </w:r>
                          </w:p>
                          <w:p w:rsidR="00675B66" w:rsidRDefault="00675B66" w:rsidP="00675B66">
                            <w:pPr>
                              <w:numPr>
                                <w:ilvl w:val="1"/>
                                <w:numId w:val="50"/>
                              </w:numPr>
                              <w:spacing w:after="0"/>
                              <w:rPr>
                                <w:rFonts w:ascii="Arial" w:eastAsia="MS Mincho" w:hAnsi="Arial" w:cs="Arial"/>
                                <w:lang w:eastAsia="ja-JP"/>
                              </w:rPr>
                            </w:pPr>
                            <w:r>
                              <w:rPr>
                                <w:rFonts w:ascii="Arial" w:eastAsia="MS Mincho" w:hAnsi="Arial" w:cs="Arial"/>
                                <w:lang w:eastAsia="ja-JP"/>
                              </w:rPr>
                              <w:t>Enhanced (e.g. repeated) PBCH based on PBCH or NPBCH design</w:t>
                            </w:r>
                          </w:p>
                          <w:p w:rsidR="00675B66" w:rsidRDefault="00675B66" w:rsidP="00675B66">
                            <w:pPr>
                              <w:numPr>
                                <w:ilvl w:val="1"/>
                                <w:numId w:val="50"/>
                              </w:numPr>
                              <w:spacing w:after="0"/>
                              <w:rPr>
                                <w:rFonts w:ascii="Arial" w:eastAsia="MS Mincho" w:hAnsi="Arial" w:cs="Arial"/>
                                <w:lang w:eastAsia="ja-JP"/>
                              </w:rPr>
                            </w:pPr>
                            <w:r>
                              <w:rPr>
                                <w:rFonts w:ascii="Arial" w:eastAsia="MS Mincho" w:hAnsi="Arial" w:cs="Arial"/>
                                <w:lang w:eastAsia="ja-JP"/>
                              </w:rPr>
                              <w:t>Use of NPBCH on NB-IoT anchor carrier</w:t>
                            </w:r>
                          </w:p>
                          <w:p w:rsidR="00675B66" w:rsidRDefault="00675B66" w:rsidP="00675B66">
                            <w:pPr>
                              <w:numPr>
                                <w:ilvl w:val="1"/>
                                <w:numId w:val="50"/>
                              </w:numPr>
                              <w:spacing w:after="0"/>
                              <w:rPr>
                                <w:rFonts w:ascii="Arial" w:eastAsia="MS Mincho" w:hAnsi="Arial" w:cs="Arial"/>
                                <w:lang w:eastAsia="ja-JP"/>
                              </w:rPr>
                            </w:pPr>
                            <w:r>
                              <w:rPr>
                                <w:rFonts w:ascii="Arial" w:eastAsia="MS Mincho" w:hAnsi="Arial" w:cs="Arial"/>
                                <w:lang w:eastAsia="ja-JP"/>
                              </w:rPr>
                              <w:t>Combining across 40-ms PBCH periods (unless already part of Rel-14 demodulation requirements)</w:t>
                            </w:r>
                          </w:p>
                          <w:p w:rsidR="000D719C" w:rsidRDefault="00675B66" w:rsidP="000D719C">
                            <w:pPr>
                              <w:numPr>
                                <w:ilvl w:val="1"/>
                                <w:numId w:val="50"/>
                              </w:numPr>
                              <w:spacing w:after="0"/>
                              <w:rPr>
                                <w:rFonts w:ascii="Arial" w:eastAsia="MS Mincho" w:hAnsi="Arial" w:cs="Arial"/>
                                <w:lang w:eastAsia="ja-JP"/>
                              </w:rPr>
                            </w:pPr>
                            <w:r>
                              <w:rPr>
                                <w:rFonts w:ascii="Arial" w:eastAsia="MS Mincho" w:hAnsi="Arial" w:cs="Arial"/>
                                <w:lang w:eastAsia="ja-JP"/>
                              </w:rPr>
                              <w:t>New mechanism allowing to skip MIB message reading</w:t>
                            </w:r>
                          </w:p>
                          <w:p w:rsidR="000D719C" w:rsidRDefault="000D719C" w:rsidP="000D719C">
                            <w:pPr>
                              <w:spacing w:after="0"/>
                              <w:ind w:left="1440"/>
                              <w:rPr>
                                <w:rFonts w:ascii="Arial" w:eastAsia="MS Mincho" w:hAnsi="Arial" w:cs="Arial"/>
                                <w:lang w:eastAsia="ja-JP"/>
                              </w:rPr>
                            </w:pPr>
                          </w:p>
                          <w:p w:rsidR="000D719C" w:rsidRPr="000D719C" w:rsidRDefault="000D719C" w:rsidP="000D719C">
                            <w:pPr>
                              <w:spacing w:after="0"/>
                              <w:ind w:left="1136" w:hanging="416"/>
                              <w:rPr>
                                <w:rFonts w:ascii="Arial" w:eastAsia="MS Mincho" w:hAnsi="Arial" w:cs="Arial"/>
                                <w:lang w:eastAsia="ja-JP"/>
                              </w:rPr>
                            </w:pPr>
                            <w:r w:rsidRPr="000D719C">
                              <w:rPr>
                                <w:rFonts w:ascii="Arial" w:eastAsia="MS Mincho" w:hAnsi="Arial" w:cs="Arial"/>
                                <w:lang w:eastAsia="ja-JP"/>
                              </w:rPr>
                              <w:t>[…]</w:t>
                            </w:r>
                          </w:p>
                          <w:p w:rsidR="00675B66" w:rsidRDefault="00675B66" w:rsidP="00675B66">
                            <w:pPr>
                              <w:pStyle w:val="Header"/>
                              <w:tabs>
                                <w:tab w:val="left" w:pos="720"/>
                              </w:tabs>
                              <w:rPr>
                                <w:rFonts w:ascii="Arial" w:eastAsia="Times New Roman" w:hAnsi="Arial" w:cs="Arial"/>
                              </w:rPr>
                            </w:pPr>
                          </w:p>
                          <w:p w:rsidR="00675B66" w:rsidRDefault="00675B66" w:rsidP="00675B66">
                            <w:r>
                              <w:rPr>
                                <w:rFonts w:ascii="Arial" w:hAnsi="Arial" w:cs="Arial"/>
                              </w:rPr>
                              <w:t>Some of the techniques that are being considered are expected to have RAN2 and RAN4 impacts.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55pt;margin-top:22.8pt;width:508.3pt;height:203.2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" o:allowoverlap="f">
                <v:textbox>
                  <w:txbxContent>
                    <w:p w:rsidR="00675B66" w:rsidRDefault="00675B66" w:rsidP="00675B66">
                      <w:pPr>
                        <w:rPr>
                          <w:rFonts w:ascii="Arial" w:eastAsia="MS Mincho" w:hAnsi="Arial" w:cs="Arial"/>
                          <w:iCs/>
                          <w:lang w:eastAsia="ja-JP"/>
                        </w:rPr>
                      </w:pPr>
                      <w:r>
                        <w:rPr>
                          <w:rFonts w:ascii="Arial" w:eastAsia="MS Mincho" w:hAnsi="Arial" w:cs="Arial"/>
                          <w:iCs/>
                          <w:lang w:eastAsia="ja-JP"/>
                        </w:rPr>
                        <w:t>RAN1#88bis and RAN1#89 made the following agreements regarding system acquisition time reduction for BL/CE UEs in Rel-15.</w:t>
                      </w:r>
                    </w:p>
                    <w:p w:rsidR="00675B66" w:rsidRDefault="00675B66" w:rsidP="00675B66">
                      <w:pPr>
                        <w:rPr>
                          <w:rFonts w:ascii="Arial" w:eastAsia="MS Mincho" w:hAnsi="Arial" w:cs="Arial"/>
                          <w:iCs/>
                          <w:lang w:eastAsia="ja-JP"/>
                        </w:rPr>
                      </w:pPr>
                    </w:p>
                    <w:p w:rsidR="00675B66" w:rsidRDefault="00675B66" w:rsidP="00675B66">
                      <w:pPr>
                        <w:numPr>
                          <w:ilvl w:val="0"/>
                          <w:numId w:val="49"/>
                        </w:numPr>
                        <w:spacing w:after="0"/>
                        <w:rPr>
                          <w:rFonts w:ascii="Arial" w:eastAsia="MS Mincho" w:hAnsi="Arial" w:cs="Arial"/>
                          <w:lang w:eastAsia="ja-JP"/>
                        </w:rPr>
                      </w:pPr>
                      <w:r>
                        <w:rPr>
                          <w:rFonts w:ascii="Arial" w:eastAsia="MS Mincho" w:hAnsi="Arial" w:cs="Arial"/>
                          <w:lang w:eastAsia="ja-JP"/>
                        </w:rPr>
                        <w:t>Techniques for system acquisition time reduction to be considered:</w:t>
                      </w:r>
                      <w:r w:rsidR="000D719C">
                        <w:rPr>
                          <w:rFonts w:ascii="Arial" w:eastAsia="MS Mincho" w:hAnsi="Arial" w:cs="Arial"/>
                          <w:lang w:eastAsia="ja-JP"/>
                        </w:rPr>
                        <w:br/>
                        <w:t>[…]</w:t>
                      </w:r>
                    </w:p>
                    <w:p w:rsidR="00675B66" w:rsidRDefault="00675B66" w:rsidP="00675B66">
                      <w:pPr>
                        <w:numPr>
                          <w:ilvl w:val="0"/>
                          <w:numId w:val="50"/>
                        </w:numPr>
                        <w:spacing w:after="0"/>
                        <w:rPr>
                          <w:rFonts w:ascii="Arial" w:eastAsia="MS Mincho" w:hAnsi="Arial" w:cs="Arial"/>
                          <w:lang w:eastAsia="ja-JP"/>
                        </w:rPr>
                      </w:pPr>
                      <w:r>
                        <w:rPr>
                          <w:rFonts w:ascii="Arial" w:eastAsia="MS Mincho" w:hAnsi="Arial" w:cs="Arial"/>
                          <w:lang w:eastAsia="ja-JP"/>
                        </w:rPr>
                        <w:t>PBCH</w:t>
                      </w:r>
                    </w:p>
                    <w:p w:rsidR="00675B66" w:rsidRDefault="00675B66" w:rsidP="00675B66">
                      <w:pPr>
                        <w:numPr>
                          <w:ilvl w:val="1"/>
                          <w:numId w:val="50"/>
                        </w:numPr>
                        <w:spacing w:after="0"/>
                        <w:rPr>
                          <w:rFonts w:ascii="Arial" w:eastAsia="MS Mincho" w:hAnsi="Arial" w:cs="Arial"/>
                          <w:lang w:eastAsia="ja-JP"/>
                        </w:rPr>
                      </w:pPr>
                      <w:r>
                        <w:rPr>
                          <w:rFonts w:ascii="Arial" w:eastAsia="MS Mincho" w:hAnsi="Arial" w:cs="Arial"/>
                          <w:lang w:eastAsia="ja-JP"/>
                        </w:rPr>
                        <w:t>Enhanced (e.g. repeated) PBCH based on PBCH or NPBCH design</w:t>
                      </w:r>
                    </w:p>
                    <w:p w:rsidR="00675B66" w:rsidRDefault="00675B66" w:rsidP="00675B66">
                      <w:pPr>
                        <w:numPr>
                          <w:ilvl w:val="1"/>
                          <w:numId w:val="50"/>
                        </w:numPr>
                        <w:spacing w:after="0"/>
                        <w:rPr>
                          <w:rFonts w:ascii="Arial" w:eastAsia="MS Mincho" w:hAnsi="Arial" w:cs="Arial"/>
                          <w:lang w:eastAsia="ja-JP"/>
                        </w:rPr>
                      </w:pPr>
                      <w:r>
                        <w:rPr>
                          <w:rFonts w:ascii="Arial" w:eastAsia="MS Mincho" w:hAnsi="Arial" w:cs="Arial"/>
                          <w:lang w:eastAsia="ja-JP"/>
                        </w:rPr>
                        <w:t>Use of NPBCH on NB-</w:t>
                      </w:r>
                      <w:proofErr w:type="spellStart"/>
                      <w:r>
                        <w:rPr>
                          <w:rFonts w:ascii="Arial" w:eastAsia="MS Mincho" w:hAnsi="Arial" w:cs="Arial"/>
                          <w:lang w:eastAsia="ja-JP"/>
                        </w:rPr>
                        <w:t>IoT</w:t>
                      </w:r>
                      <w:proofErr w:type="spellEnd"/>
                      <w:r>
                        <w:rPr>
                          <w:rFonts w:ascii="Arial" w:eastAsia="MS Mincho" w:hAnsi="Arial" w:cs="Arial"/>
                          <w:lang w:eastAsia="ja-JP"/>
                        </w:rPr>
                        <w:t xml:space="preserve"> anchor carrier</w:t>
                      </w:r>
                    </w:p>
                    <w:p w:rsidR="00675B66" w:rsidRDefault="00675B66" w:rsidP="00675B66">
                      <w:pPr>
                        <w:numPr>
                          <w:ilvl w:val="1"/>
                          <w:numId w:val="50"/>
                        </w:numPr>
                        <w:spacing w:after="0"/>
                        <w:rPr>
                          <w:rFonts w:ascii="Arial" w:eastAsia="MS Mincho" w:hAnsi="Arial" w:cs="Arial"/>
                          <w:lang w:eastAsia="ja-JP"/>
                        </w:rPr>
                      </w:pPr>
                      <w:r>
                        <w:rPr>
                          <w:rFonts w:ascii="Arial" w:eastAsia="MS Mincho" w:hAnsi="Arial" w:cs="Arial"/>
                          <w:lang w:eastAsia="ja-JP"/>
                        </w:rPr>
                        <w:t>Combining across 40-ms PBCH periods (unless already part of Rel-14 demodulation requirements)</w:t>
                      </w:r>
                    </w:p>
                    <w:p w:rsidR="000D719C" w:rsidRDefault="00675B66" w:rsidP="000D719C">
                      <w:pPr>
                        <w:numPr>
                          <w:ilvl w:val="1"/>
                          <w:numId w:val="50"/>
                        </w:numPr>
                        <w:spacing w:after="0"/>
                        <w:rPr>
                          <w:rFonts w:ascii="Arial" w:eastAsia="MS Mincho" w:hAnsi="Arial" w:cs="Arial"/>
                          <w:lang w:eastAsia="ja-JP"/>
                        </w:rPr>
                      </w:pPr>
                      <w:r>
                        <w:rPr>
                          <w:rFonts w:ascii="Arial" w:eastAsia="MS Mincho" w:hAnsi="Arial" w:cs="Arial"/>
                          <w:lang w:eastAsia="ja-JP"/>
                        </w:rPr>
                        <w:t>New mechanism allowing to skip MIB message reading</w:t>
                      </w:r>
                    </w:p>
                    <w:p w:rsidR="000D719C" w:rsidRDefault="000D719C" w:rsidP="000D719C">
                      <w:pPr>
                        <w:spacing w:after="0"/>
                        <w:ind w:left="1440"/>
                        <w:rPr>
                          <w:rFonts w:ascii="Arial" w:eastAsia="MS Mincho" w:hAnsi="Arial" w:cs="Arial"/>
                          <w:lang w:eastAsia="ja-JP"/>
                        </w:rPr>
                      </w:pPr>
                    </w:p>
                    <w:p w:rsidR="000D719C" w:rsidRPr="000D719C" w:rsidRDefault="000D719C" w:rsidP="000D719C">
                      <w:pPr>
                        <w:spacing w:after="0"/>
                        <w:ind w:left="1136" w:hanging="416"/>
                        <w:rPr>
                          <w:rFonts w:ascii="Arial" w:eastAsia="MS Mincho" w:hAnsi="Arial" w:cs="Arial"/>
                          <w:lang w:eastAsia="ja-JP"/>
                        </w:rPr>
                      </w:pPr>
                      <w:r w:rsidRPr="000D719C">
                        <w:rPr>
                          <w:rFonts w:ascii="Arial" w:eastAsia="MS Mincho" w:hAnsi="Arial" w:cs="Arial"/>
                          <w:lang w:eastAsia="ja-JP"/>
                        </w:rPr>
                        <w:t>[…]</w:t>
                      </w:r>
                    </w:p>
                    <w:p w:rsidR="00675B66" w:rsidRDefault="00675B66" w:rsidP="00675B66">
                      <w:pPr>
                        <w:pStyle w:val="Header"/>
                        <w:tabs>
                          <w:tab w:val="left" w:pos="720"/>
                        </w:tabs>
                        <w:rPr>
                          <w:rFonts w:ascii="Arial" w:eastAsia="Times New Roman" w:hAnsi="Arial" w:cs="Arial"/>
                        </w:rPr>
                      </w:pPr>
                    </w:p>
                    <w:p w:rsidR="00675B66" w:rsidRDefault="00675B66" w:rsidP="00675B66">
                      <w:r>
                        <w:rPr>
                          <w:rFonts w:ascii="Arial" w:hAnsi="Arial" w:cs="Arial"/>
                        </w:rPr>
                        <w:t>Some of the techniques that are being considered are expected to have RAN2 and RAN4 impacts.</w:t>
                      </w:r>
                    </w:p>
                  </w:txbxContent>
                </v:textbox>
                <w10:wrap type="topAndBottom"/>
              </v:shape>
            </w:pict>
          </mc:Fallback>
        </mc:AlternateContent>
      </w:r>
    </w:p>
    <w:p w:rsidR="00675B66" w:rsidRPr="000D719C" w:rsidRDefault="000D719C" w:rsidP="00675B66">
      <w:pPr>
        <w:rPr>
          <w:sz w:val="22"/>
          <w:szCs w:val="22"/>
          <w:lang w:val="en-CA"/>
        </w:rPr>
      </w:pPr>
      <w:r w:rsidRPr="000D719C">
        <w:rPr>
          <w:noProof/>
          <w:sz w:val="22"/>
          <w:szCs w:val="22"/>
          <w:lang w:val="en-US"/>
        </w:rPr>
        <mc:AlternateContent>
          <mc:Choice Requires="wps">
            <w:drawing>
              <wp:anchor distT="45720" distB="45720" distL="114300" distR="114300" simplePos="0" relativeHeight="251661312" behindDoc="0" locked="0" layoutInCell="1" allowOverlap="1">
                <wp:simplePos x="0" y="0"/>
                <wp:positionH relativeFrom="margin">
                  <wp:posOffset>108585</wp:posOffset>
                </wp:positionH>
                <wp:positionV relativeFrom="paragraph">
                  <wp:posOffset>2937510</wp:posOffset>
                </wp:positionV>
                <wp:extent cx="6467475" cy="1404620"/>
                <wp:effectExtent l="0" t="0" r="28575" b="1397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1404620"/>
                        </a:xfrm>
                        <a:prstGeom prst="rect">
                          <a:avLst/>
                        </a:prstGeom>
                        <a:solidFill>
                          <a:srgbClr val="FFFFFF"/>
                        </a:solidFill>
                        <a:ln w="9525">
                          <a:solidFill>
                            <a:srgbClr val="000000"/>
                          </a:solidFill>
                          <a:miter lim="800000"/>
                          <a:headEnd/>
                          <a:tailEnd/>
                        </a:ln>
                      </wps:spPr>
                      <wps:txbx>
                        <w:txbxContent>
                          <w:p w:rsidR="000D719C" w:rsidRDefault="000D719C">
                            <w:r>
                              <w:rPr>
                                <w:rFonts w:ascii="Arial" w:hAnsi="Arial" w:cs="Arial"/>
                                <w:bCs/>
                              </w:rPr>
                              <w:t xml:space="preserve">RAN1 respectfully asks RAN2 and RAN4 to provide feedback on above mentioned techniques regarding </w:t>
                            </w:r>
                            <w:r>
                              <w:rPr>
                                <w:rFonts w:ascii="Arial" w:eastAsia="MS Mincho" w:hAnsi="Arial" w:cs="Arial"/>
                                <w:iCs/>
                                <w:lang w:eastAsia="ja-JP"/>
                              </w:rPr>
                              <w:t xml:space="preserve">system acquisition time reduction for BL/CE UEs, and whether </w:t>
                            </w:r>
                            <w:r>
                              <w:rPr>
                                <w:rFonts w:ascii="Arial" w:hAnsi="Arial" w:cs="Arial"/>
                                <w:bCs/>
                              </w:rPr>
                              <w:t>any of the techniques are already or expected to be part of Rel-14.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8.55pt;margin-top:231.3pt;width:509.2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">
                <v:textbox style="mso-fit-shape-to-text:t">
                  <w:txbxContent>
                    <w:p w:rsidR="000D719C" w:rsidRDefault="000D719C">
                      <w:r>
                        <w:rPr>
                          <w:rFonts w:ascii="Arial" w:hAnsi="Arial" w:cs="Arial"/>
                          <w:bCs/>
                        </w:rPr>
                        <w:t xml:space="preserve">RAN1 respectfully asks RAN2 and RAN4 to provide feedback on above mentioned techniques regarding </w:t>
                      </w:r>
                      <w:r>
                        <w:rPr>
                          <w:rFonts w:ascii="Arial" w:eastAsia="MS Mincho" w:hAnsi="Arial" w:cs="Arial"/>
                          <w:iCs/>
                          <w:lang w:eastAsia="ja-JP"/>
                        </w:rPr>
                        <w:t xml:space="preserve">system acquisition time reduction for BL/CE UEs, and whether </w:t>
                      </w:r>
                      <w:r>
                        <w:rPr>
                          <w:rFonts w:ascii="Arial" w:hAnsi="Arial" w:cs="Arial"/>
                          <w:bCs/>
                        </w:rPr>
                        <w:t>any of the techniques are already or expected to be part of Rel-14.</w:t>
                      </w:r>
                    </w:p>
                  </w:txbxContent>
                </v:textbox>
                <w10:wrap type="topAndBottom" anchorx="margin"/>
              </v:shape>
            </w:pict>
          </mc:Fallback>
        </mc:AlternateContent>
      </w:r>
      <w:r w:rsidRPr="000D719C">
        <w:rPr>
          <w:sz w:val="22"/>
          <w:szCs w:val="22"/>
          <w:lang w:val="en-CA"/>
        </w:rPr>
        <w:t>The expected action from RAN4 is as follows</w:t>
      </w:r>
    </w:p>
    <w:p w:rsidR="000D719C" w:rsidRDefault="000D719C" w:rsidP="00675B66">
      <w:pPr>
        <w:rPr>
          <w:lang w:val="en-CA"/>
        </w:rPr>
      </w:pPr>
    </w:p>
    <w:p w:rsidR="000D719C" w:rsidRPr="004B1394" w:rsidRDefault="000D719C" w:rsidP="000D719C">
      <w:pPr>
        <w:jc w:val="both"/>
        <w:rPr>
          <w:bCs/>
          <w:sz w:val="22"/>
          <w:szCs w:val="22"/>
        </w:rPr>
      </w:pPr>
      <w:r>
        <w:rPr>
          <w:bCs/>
          <w:sz w:val="22"/>
          <w:szCs w:val="22"/>
        </w:rPr>
        <w:t>In this contribution, we are focusing on PBCH, and particularly, on improved MIB decoding algorithms</w:t>
      </w:r>
      <w:r w:rsidR="001A4412">
        <w:rPr>
          <w:bCs/>
          <w:sz w:val="22"/>
          <w:szCs w:val="22"/>
        </w:rPr>
        <w:t xml:space="preserve"> based on combining across 40</w:t>
      </w:r>
      <w:r>
        <w:rPr>
          <w:bCs/>
          <w:sz w:val="22"/>
          <w:szCs w:val="22"/>
        </w:rPr>
        <w:t>ms PBCH periods.</w:t>
      </w:r>
    </w:p>
    <w:p w:rsidR="00795BA1" w:rsidRPr="00862C73" w:rsidRDefault="00795BA1" w:rsidP="00BD2156">
      <w:pPr>
        <w:jc w:val="both"/>
        <w:rPr>
          <w:sz w:val="22"/>
          <w:szCs w:val="22"/>
          <w:lang w:val="en-CA"/>
        </w:rPr>
      </w:pPr>
    </w:p>
    <w:p w:rsidR="006201C2" w:rsidRPr="00795BA1" w:rsidRDefault="00F10F88" w:rsidP="00795BA1">
      <w:pPr>
        <w:pStyle w:val="Heading1"/>
        <w:ind w:left="431" w:hanging="431"/>
        <w:rPr>
          <w:szCs w:val="36"/>
          <w:lang w:val="en-CA"/>
        </w:rPr>
      </w:pPr>
      <w:r w:rsidRPr="00862C73">
        <w:rPr>
          <w:szCs w:val="36"/>
          <w:lang w:val="en-CA"/>
        </w:rPr>
        <w:t>Background</w:t>
      </w:r>
    </w:p>
    <w:p w:rsidR="00661D60" w:rsidRPr="00BC424A" w:rsidRDefault="00BC424A" w:rsidP="00944EED">
      <w:pPr>
        <w:jc w:val="both"/>
        <w:rPr>
          <w:sz w:val="22"/>
          <w:szCs w:val="22"/>
          <w:lang w:val="en-CA" w:eastAsia="ja-JP"/>
        </w:rPr>
      </w:pPr>
      <w:r w:rsidRPr="00BC424A">
        <w:rPr>
          <w:sz w:val="22"/>
          <w:szCs w:val="22"/>
          <w:lang w:val="en-CA" w:eastAsia="ja-JP"/>
        </w:rPr>
        <w:t>In the early MTC specification</w:t>
      </w:r>
      <w:r w:rsidR="00843592">
        <w:rPr>
          <w:sz w:val="22"/>
          <w:szCs w:val="22"/>
          <w:lang w:val="en-CA" w:eastAsia="ja-JP"/>
        </w:rPr>
        <w:t xml:space="preserve"> work, combining across 40ms PBCH periods was proposed as a means for improving MIB decoding at low SINR</w:t>
      </w:r>
      <w:r w:rsidR="0032126F">
        <w:rPr>
          <w:sz w:val="22"/>
          <w:szCs w:val="22"/>
          <w:lang w:val="en-CA" w:eastAsia="ja-JP"/>
        </w:rPr>
        <w:t xml:space="preserve"> without consuming system capacity</w:t>
      </w:r>
      <w:r w:rsidR="002A4004">
        <w:rPr>
          <w:sz w:val="22"/>
          <w:szCs w:val="22"/>
          <w:lang w:val="en-CA" w:eastAsia="ja-JP"/>
        </w:rPr>
        <w:t xml:space="preserve"> on increased redundancy of PBCH</w:t>
      </w:r>
      <w:r w:rsidR="00843592">
        <w:rPr>
          <w:sz w:val="22"/>
          <w:szCs w:val="22"/>
          <w:lang w:val="en-CA" w:eastAsia="ja-JP"/>
        </w:rPr>
        <w:t xml:space="preserve">. A contribution was provided that included an exemplary implementation of a Viterbi decoder </w:t>
      </w:r>
      <w:r w:rsidR="002A4004">
        <w:rPr>
          <w:sz w:val="22"/>
          <w:szCs w:val="22"/>
          <w:lang w:val="en-CA" w:eastAsia="ja-JP"/>
        </w:rPr>
        <w:t xml:space="preserve">capable of combining </w:t>
      </w:r>
      <w:r w:rsidR="00F64354">
        <w:rPr>
          <w:sz w:val="22"/>
          <w:szCs w:val="22"/>
          <w:lang w:val="en-CA" w:eastAsia="ja-JP"/>
        </w:rPr>
        <w:t>40 ms periods</w:t>
      </w:r>
      <w:r w:rsidR="002A4004">
        <w:rPr>
          <w:sz w:val="22"/>
          <w:szCs w:val="22"/>
          <w:lang w:val="en-CA" w:eastAsia="ja-JP"/>
        </w:rPr>
        <w:t xml:space="preserve"> </w:t>
      </w:r>
      <w:r w:rsidR="002A4004">
        <w:rPr>
          <w:sz w:val="22"/>
          <w:szCs w:val="22"/>
          <w:lang w:val="en-CA" w:eastAsia="ja-JP"/>
        </w:rPr>
        <w:fldChar w:fldCharType="begin"/>
      </w:r>
      <w:r w:rsidR="002A4004">
        <w:rPr>
          <w:sz w:val="22"/>
          <w:szCs w:val="22"/>
          <w:lang w:val="en-CA" w:eastAsia="ja-JP"/>
        </w:rPr>
        <w:instrText xml:space="preserve"> REF _Ref489965555 \r \h </w:instrText>
      </w:r>
      <w:r w:rsidR="0032126F">
        <w:rPr>
          <w:sz w:val="22"/>
          <w:szCs w:val="22"/>
          <w:lang w:val="en-CA" w:eastAsia="ja-JP"/>
        </w:rPr>
        <w:instrText xml:space="preserve"> \* MERGEFORMAT </w:instrText>
      </w:r>
      <w:r w:rsidR="002A4004">
        <w:rPr>
          <w:sz w:val="22"/>
          <w:szCs w:val="22"/>
          <w:lang w:val="en-CA" w:eastAsia="ja-JP"/>
        </w:rPr>
      </w:r>
      <w:r w:rsidR="002A4004">
        <w:rPr>
          <w:sz w:val="22"/>
          <w:szCs w:val="22"/>
          <w:lang w:val="en-CA" w:eastAsia="ja-JP"/>
        </w:rPr>
        <w:fldChar w:fldCharType="separate"/>
      </w:r>
      <w:r w:rsidR="00F9384B">
        <w:rPr>
          <w:sz w:val="22"/>
          <w:szCs w:val="22"/>
          <w:lang w:val="en-CA" w:eastAsia="ja-JP"/>
        </w:rPr>
        <w:t>[2]</w:t>
      </w:r>
      <w:r w:rsidR="002A4004">
        <w:rPr>
          <w:sz w:val="22"/>
          <w:szCs w:val="22"/>
          <w:lang w:val="en-CA" w:eastAsia="ja-JP"/>
        </w:rPr>
        <w:fldChar w:fldCharType="end"/>
      </w:r>
      <w:r w:rsidR="002A4004">
        <w:rPr>
          <w:sz w:val="22"/>
          <w:szCs w:val="22"/>
          <w:lang w:val="en-CA" w:eastAsia="ja-JP"/>
        </w:rPr>
        <w:t>, which showed that up to 10 times faster acquisition could be e</w:t>
      </w:r>
      <w:r w:rsidR="0032126F">
        <w:rPr>
          <w:sz w:val="22"/>
          <w:szCs w:val="22"/>
          <w:lang w:val="en-CA" w:eastAsia="ja-JP"/>
        </w:rPr>
        <w:t>xpected compared to using a legacy Viterbi decoder</w:t>
      </w:r>
      <w:r w:rsidR="002A4004">
        <w:rPr>
          <w:sz w:val="22"/>
          <w:szCs w:val="22"/>
          <w:lang w:val="en-CA" w:eastAsia="ja-JP"/>
        </w:rPr>
        <w:t xml:space="preserve">. However, at that time, it was agreed in RAN1 that increased PBCH </w:t>
      </w:r>
      <w:r w:rsidR="002A4004">
        <w:rPr>
          <w:sz w:val="22"/>
          <w:szCs w:val="22"/>
          <w:lang w:val="en-CA" w:eastAsia="ja-JP"/>
        </w:rPr>
        <w:lastRenderedPageBreak/>
        <w:t>redundancy (repetitions) would provide sufficient performance</w:t>
      </w:r>
      <w:r w:rsidR="0032126F">
        <w:rPr>
          <w:sz w:val="22"/>
          <w:szCs w:val="22"/>
          <w:lang w:val="en-CA" w:eastAsia="ja-JP"/>
        </w:rPr>
        <w:t xml:space="preserve"> while constituting an acceptable loss of system capacity.</w:t>
      </w:r>
      <w:r w:rsidR="002A4004">
        <w:rPr>
          <w:sz w:val="22"/>
          <w:szCs w:val="22"/>
          <w:lang w:val="en-CA" w:eastAsia="ja-JP"/>
        </w:rPr>
        <w:t xml:space="preserve"> </w:t>
      </w:r>
    </w:p>
    <w:p w:rsidR="00497726" w:rsidRDefault="0032126F" w:rsidP="00944EED">
      <w:pPr>
        <w:jc w:val="both"/>
        <w:rPr>
          <w:sz w:val="22"/>
          <w:szCs w:val="22"/>
          <w:lang w:val="en-CA"/>
        </w:rPr>
      </w:pPr>
      <w:r>
        <w:rPr>
          <w:sz w:val="22"/>
          <w:szCs w:val="22"/>
          <w:lang w:val="en-CA"/>
        </w:rPr>
        <w:t>Since then there has been an increasing concern on the SI acquisition times</w:t>
      </w:r>
      <w:r w:rsidR="005462FE">
        <w:rPr>
          <w:sz w:val="22"/>
          <w:szCs w:val="22"/>
          <w:lang w:val="en-CA"/>
        </w:rPr>
        <w:t xml:space="preserve"> both from RAN1 and RAN2</w:t>
      </w:r>
      <w:r w:rsidR="00944EED">
        <w:rPr>
          <w:sz w:val="22"/>
          <w:szCs w:val="22"/>
          <w:lang w:val="en-CA"/>
        </w:rPr>
        <w:t xml:space="preserve">, leading to that improvements in this area is included in the core part of the WI </w:t>
      </w:r>
      <w:r w:rsidR="005462FE">
        <w:rPr>
          <w:sz w:val="22"/>
          <w:szCs w:val="22"/>
          <w:lang w:val="en-CA"/>
        </w:rPr>
        <w:t>“Even further enhanced MTC</w:t>
      </w:r>
      <w:r w:rsidR="00944EED">
        <w:rPr>
          <w:sz w:val="22"/>
          <w:szCs w:val="22"/>
          <w:lang w:val="en-CA"/>
        </w:rPr>
        <w:t xml:space="preserve">” </w:t>
      </w:r>
      <w:r w:rsidR="00944EED">
        <w:rPr>
          <w:sz w:val="22"/>
          <w:szCs w:val="22"/>
          <w:lang w:val="en-CA"/>
        </w:rPr>
        <w:fldChar w:fldCharType="begin"/>
      </w:r>
      <w:r w:rsidR="00944EED">
        <w:rPr>
          <w:sz w:val="22"/>
          <w:szCs w:val="22"/>
          <w:lang w:val="en-CA"/>
        </w:rPr>
        <w:instrText xml:space="preserve"> REF _Ref489968217 \r \h </w:instrText>
      </w:r>
      <w:r w:rsidR="00944EED">
        <w:rPr>
          <w:sz w:val="22"/>
          <w:szCs w:val="22"/>
          <w:lang w:val="en-CA"/>
        </w:rPr>
      </w:r>
      <w:r w:rsidR="00944EED">
        <w:rPr>
          <w:sz w:val="22"/>
          <w:szCs w:val="22"/>
          <w:lang w:val="en-CA"/>
        </w:rPr>
        <w:fldChar w:fldCharType="separate"/>
      </w:r>
      <w:r w:rsidR="00F9384B">
        <w:rPr>
          <w:sz w:val="22"/>
          <w:szCs w:val="22"/>
          <w:lang w:val="en-CA"/>
        </w:rPr>
        <w:t>[4]</w:t>
      </w:r>
      <w:r w:rsidR="00944EED">
        <w:rPr>
          <w:sz w:val="22"/>
          <w:szCs w:val="22"/>
          <w:lang w:val="en-CA"/>
        </w:rPr>
        <w:fldChar w:fldCharType="end"/>
      </w:r>
      <w:r w:rsidR="00944EED">
        <w:rPr>
          <w:sz w:val="22"/>
          <w:szCs w:val="22"/>
          <w:lang w:val="en-CA"/>
        </w:rPr>
        <w:t>.</w:t>
      </w:r>
    </w:p>
    <w:p w:rsidR="00497726" w:rsidRDefault="00A37A6A" w:rsidP="00944EED">
      <w:pPr>
        <w:jc w:val="both"/>
        <w:rPr>
          <w:sz w:val="22"/>
          <w:szCs w:val="22"/>
          <w:lang w:val="en-CA"/>
        </w:rPr>
      </w:pPr>
      <w:r>
        <w:rPr>
          <w:sz w:val="22"/>
          <w:szCs w:val="22"/>
          <w:lang w:val="en-CA"/>
        </w:rPr>
        <w:t xml:space="preserve">In related RAN1 work, link simulation results </w:t>
      </w:r>
      <w:r w:rsidR="009E4DF5">
        <w:rPr>
          <w:sz w:val="22"/>
          <w:szCs w:val="22"/>
          <w:lang w:val="en-CA"/>
        </w:rPr>
        <w:t xml:space="preserve">in </w:t>
      </w:r>
      <w:r w:rsidR="009E4DF5">
        <w:rPr>
          <w:sz w:val="22"/>
          <w:szCs w:val="22"/>
          <w:lang w:val="en-CA"/>
        </w:rPr>
        <w:fldChar w:fldCharType="begin"/>
      </w:r>
      <w:r w:rsidR="009E4DF5">
        <w:rPr>
          <w:sz w:val="22"/>
          <w:szCs w:val="22"/>
          <w:lang w:val="en-CA"/>
        </w:rPr>
        <w:instrText xml:space="preserve"> REF _Ref489969874 \r \h </w:instrText>
      </w:r>
      <w:r w:rsidR="009E4DF5">
        <w:rPr>
          <w:sz w:val="22"/>
          <w:szCs w:val="22"/>
          <w:lang w:val="en-CA"/>
        </w:rPr>
      </w:r>
      <w:r w:rsidR="009E4DF5">
        <w:rPr>
          <w:sz w:val="22"/>
          <w:szCs w:val="22"/>
          <w:lang w:val="en-CA"/>
        </w:rPr>
        <w:fldChar w:fldCharType="separate"/>
      </w:r>
      <w:r w:rsidR="00F9384B">
        <w:rPr>
          <w:sz w:val="22"/>
          <w:szCs w:val="22"/>
          <w:lang w:val="en-CA"/>
        </w:rPr>
        <w:t>[3]</w:t>
      </w:r>
      <w:r w:rsidR="009E4DF5">
        <w:rPr>
          <w:sz w:val="22"/>
          <w:szCs w:val="22"/>
          <w:lang w:val="en-CA"/>
        </w:rPr>
        <w:fldChar w:fldCharType="end"/>
      </w:r>
      <w:r w:rsidR="009E4DF5">
        <w:rPr>
          <w:sz w:val="22"/>
          <w:szCs w:val="22"/>
          <w:lang w:val="en-CA"/>
        </w:rPr>
        <w:t xml:space="preserve"> </w:t>
      </w:r>
      <w:r>
        <w:rPr>
          <w:sz w:val="22"/>
          <w:szCs w:val="22"/>
          <w:lang w:val="en-CA"/>
        </w:rPr>
        <w:t xml:space="preserve">showed </w:t>
      </w:r>
      <w:r w:rsidR="00497726">
        <w:rPr>
          <w:sz w:val="22"/>
          <w:szCs w:val="22"/>
          <w:lang w:val="en-CA"/>
        </w:rPr>
        <w:t>tha</w:t>
      </w:r>
      <w:r>
        <w:rPr>
          <w:sz w:val="22"/>
          <w:szCs w:val="22"/>
          <w:lang w:val="en-CA"/>
        </w:rPr>
        <w:t xml:space="preserve">t MIB acquisition times at low SINR (high MCL) were large for the conventional PBCH decoder even with the PBCH repetitions introduced in Rel-13, and that a decoder that supports combining across 40ms PBCH periods can achieve significantly </w:t>
      </w:r>
      <w:r w:rsidR="004E0CBB">
        <w:rPr>
          <w:sz w:val="22"/>
          <w:szCs w:val="22"/>
          <w:lang w:val="en-CA"/>
        </w:rPr>
        <w:t xml:space="preserve">shorter acquisition times – see </w:t>
      </w:r>
      <w:r w:rsidR="004E0CBB">
        <w:rPr>
          <w:sz w:val="22"/>
          <w:szCs w:val="22"/>
          <w:lang w:val="en-CA"/>
        </w:rPr>
        <w:fldChar w:fldCharType="begin"/>
      </w:r>
      <w:r w:rsidR="004E0CBB">
        <w:rPr>
          <w:sz w:val="22"/>
          <w:szCs w:val="22"/>
          <w:lang w:val="en-CA"/>
        </w:rPr>
        <w:instrText xml:space="preserve"> REF _Ref489970739 \h </w:instrText>
      </w:r>
      <w:r w:rsidR="004E0CBB">
        <w:rPr>
          <w:sz w:val="22"/>
          <w:szCs w:val="22"/>
          <w:lang w:val="en-CA"/>
        </w:rPr>
      </w:r>
      <w:r w:rsidR="004E0CBB">
        <w:rPr>
          <w:sz w:val="22"/>
          <w:szCs w:val="22"/>
          <w:lang w:val="en-CA"/>
        </w:rPr>
        <w:fldChar w:fldCharType="separate"/>
      </w:r>
      <w:r w:rsidR="00F9384B" w:rsidRPr="00A37A6A">
        <w:rPr>
          <w:sz w:val="22"/>
          <w:lang w:val="en-US"/>
        </w:rPr>
        <w:t xml:space="preserve">Figure </w:t>
      </w:r>
      <w:r w:rsidR="00F9384B">
        <w:rPr>
          <w:noProof/>
          <w:sz w:val="22"/>
          <w:lang w:val="en-US"/>
        </w:rPr>
        <w:t>1</w:t>
      </w:r>
      <w:r w:rsidR="004E0CBB">
        <w:rPr>
          <w:sz w:val="22"/>
          <w:szCs w:val="22"/>
          <w:lang w:val="en-CA"/>
        </w:rPr>
        <w:fldChar w:fldCharType="end"/>
      </w:r>
      <w:r w:rsidR="008E0F0C">
        <w:rPr>
          <w:sz w:val="22"/>
          <w:szCs w:val="22"/>
          <w:lang w:val="en-CA"/>
        </w:rPr>
        <w:t>.</w:t>
      </w:r>
    </w:p>
    <w:p w:rsidR="00A37A6A" w:rsidRDefault="00497726" w:rsidP="00A37A6A">
      <w:pPr>
        <w:keepNext/>
        <w:ind w:left="-270" w:right="-441" w:hanging="450"/>
      </w:pPr>
      <w:r>
        <w:rPr>
          <w:noProof/>
          <w:lang w:val="en-US"/>
        </w:rPr>
        <w:drawing>
          <wp:inline distT="0" distB="0" distL="0" distR="0" wp14:anchorId="58EFC160" wp14:editId="00DA73B8">
            <wp:extent cx="3429000" cy="256946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BCH_CDF_with_rep_MCL_164d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29000" cy="2569464"/>
                    </a:xfrm>
                    <a:prstGeom prst="rect">
                      <a:avLst/>
                    </a:prstGeom>
                  </pic:spPr>
                </pic:pic>
              </a:graphicData>
            </a:graphic>
          </wp:inline>
        </w:drawing>
      </w:r>
      <w:r w:rsidR="00A05CF8">
        <w:rPr>
          <w:noProof/>
          <w:lang w:val="en-US"/>
        </w:rPr>
        <w:drawing>
          <wp:inline distT="0" distB="0" distL="0" distR="0" wp14:anchorId="5004CEB7" wp14:editId="637B2F80">
            <wp:extent cx="3401568" cy="2551176"/>
            <wp:effectExtent l="0" t="0" r="889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BCH_CDF_with_rep_MCL_159dB.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01568" cy="2551176"/>
                    </a:xfrm>
                    <a:prstGeom prst="rect">
                      <a:avLst/>
                    </a:prstGeom>
                  </pic:spPr>
                </pic:pic>
              </a:graphicData>
            </a:graphic>
          </wp:inline>
        </w:drawing>
      </w:r>
    </w:p>
    <w:p w:rsidR="00497726" w:rsidRPr="004E0CBB" w:rsidRDefault="00A37A6A" w:rsidP="004E0CBB">
      <w:pPr>
        <w:pStyle w:val="Caption"/>
        <w:rPr>
          <w:sz w:val="22"/>
          <w:lang w:val="en-US"/>
        </w:rPr>
      </w:pPr>
      <w:bookmarkStart w:id="3" w:name="_Ref489970739"/>
      <w:r w:rsidRPr="00A37A6A">
        <w:rPr>
          <w:sz w:val="22"/>
          <w:lang w:val="en-US"/>
        </w:rPr>
        <w:t xml:space="preserve">Figure </w:t>
      </w:r>
      <w:r w:rsidRPr="00A37A6A">
        <w:rPr>
          <w:sz w:val="22"/>
        </w:rPr>
        <w:fldChar w:fldCharType="begin"/>
      </w:r>
      <w:r w:rsidRPr="00A37A6A">
        <w:rPr>
          <w:sz w:val="22"/>
          <w:lang w:val="en-US"/>
        </w:rPr>
        <w:instrText xml:space="preserve"> SEQ Figure \* ARABIC </w:instrText>
      </w:r>
      <w:r w:rsidRPr="00A37A6A">
        <w:rPr>
          <w:sz w:val="22"/>
        </w:rPr>
        <w:fldChar w:fldCharType="separate"/>
      </w:r>
      <w:r w:rsidR="00F9384B">
        <w:rPr>
          <w:noProof/>
          <w:sz w:val="22"/>
          <w:lang w:val="en-US"/>
        </w:rPr>
        <w:t>1</w:t>
      </w:r>
      <w:r w:rsidRPr="00A37A6A">
        <w:rPr>
          <w:sz w:val="22"/>
        </w:rPr>
        <w:fldChar w:fldCharType="end"/>
      </w:r>
      <w:bookmarkEnd w:id="3"/>
      <w:r w:rsidRPr="00A37A6A">
        <w:rPr>
          <w:sz w:val="22"/>
          <w:lang w:val="en-US"/>
        </w:rPr>
        <w:t xml:space="preserve">: </w:t>
      </w:r>
      <w:r w:rsidRPr="00A37A6A">
        <w:rPr>
          <w:b w:val="0"/>
          <w:sz w:val="22"/>
          <w:lang w:val="en-US"/>
        </w:rPr>
        <w:t xml:space="preserve">MIB acquisition using Rel-13 PBCH repetitions at MCL = 164 dB </w:t>
      </w:r>
      <w:r w:rsidR="004E0CBB">
        <w:rPr>
          <w:b w:val="0"/>
          <w:sz w:val="22"/>
          <w:lang w:val="en-US"/>
        </w:rPr>
        <w:t xml:space="preserve">(left) and 159 dB (right) </w:t>
      </w:r>
      <w:r w:rsidRPr="00A37A6A">
        <w:rPr>
          <w:b w:val="0"/>
          <w:sz w:val="22"/>
          <w:lang w:val="en-US"/>
        </w:rPr>
        <w:t>using a conventio</w:t>
      </w:r>
      <w:r w:rsidR="009B32B8">
        <w:rPr>
          <w:b w:val="0"/>
          <w:sz w:val="22"/>
          <w:lang w:val="en-US"/>
        </w:rPr>
        <w:t>nal PBCH decoder and an enhanced</w:t>
      </w:r>
      <w:r w:rsidRPr="00A37A6A">
        <w:rPr>
          <w:b w:val="0"/>
          <w:sz w:val="22"/>
          <w:lang w:val="en-US"/>
        </w:rPr>
        <w:t xml:space="preserve"> decoder combining across PBCH TTIs.</w:t>
      </w:r>
    </w:p>
    <w:p w:rsidR="001D54F2" w:rsidRDefault="004E0CBB" w:rsidP="004E0CBB">
      <w:pPr>
        <w:spacing w:before="240"/>
        <w:jc w:val="both"/>
        <w:rPr>
          <w:sz w:val="22"/>
          <w:szCs w:val="22"/>
          <w:lang w:val="en-US"/>
        </w:rPr>
      </w:pPr>
      <w:r>
        <w:rPr>
          <w:sz w:val="22"/>
          <w:szCs w:val="22"/>
          <w:lang w:val="en-US"/>
        </w:rPr>
        <w:t xml:space="preserve">In </w:t>
      </w:r>
      <w:r>
        <w:rPr>
          <w:sz w:val="22"/>
          <w:szCs w:val="22"/>
          <w:lang w:val="en-US"/>
        </w:rPr>
        <w:fldChar w:fldCharType="begin"/>
      </w:r>
      <w:r>
        <w:rPr>
          <w:sz w:val="22"/>
          <w:szCs w:val="22"/>
          <w:lang w:val="en-US"/>
        </w:rPr>
        <w:instrText xml:space="preserve"> REF _Ref489969874 \r \h </w:instrText>
      </w:r>
      <w:r>
        <w:rPr>
          <w:sz w:val="22"/>
          <w:szCs w:val="22"/>
          <w:lang w:val="en-US"/>
        </w:rPr>
      </w:r>
      <w:r>
        <w:rPr>
          <w:sz w:val="22"/>
          <w:szCs w:val="22"/>
          <w:lang w:val="en-US"/>
        </w:rPr>
        <w:fldChar w:fldCharType="separate"/>
      </w:r>
      <w:r w:rsidR="00F9384B">
        <w:rPr>
          <w:sz w:val="22"/>
          <w:szCs w:val="22"/>
          <w:lang w:val="en-US"/>
        </w:rPr>
        <w:t>[3]</w:t>
      </w:r>
      <w:r>
        <w:rPr>
          <w:sz w:val="22"/>
          <w:szCs w:val="22"/>
          <w:lang w:val="en-US"/>
        </w:rPr>
        <w:fldChar w:fldCharType="end"/>
      </w:r>
      <w:r>
        <w:rPr>
          <w:sz w:val="22"/>
          <w:szCs w:val="22"/>
          <w:lang w:val="en-US"/>
        </w:rPr>
        <w:t xml:space="preserve"> it was further investigated what improvement would result from increasing the PBCH repetitions</w:t>
      </w:r>
      <w:r w:rsidR="00F3191C">
        <w:rPr>
          <w:sz w:val="22"/>
          <w:szCs w:val="22"/>
          <w:lang w:val="en-US"/>
        </w:rPr>
        <w:t xml:space="preserve"> to twice of</w:t>
      </w:r>
      <w:r>
        <w:rPr>
          <w:sz w:val="22"/>
          <w:szCs w:val="22"/>
          <w:lang w:val="en-US"/>
        </w:rPr>
        <w:t xml:space="preserve"> that in Rel-13 – see </w:t>
      </w:r>
      <w:r>
        <w:rPr>
          <w:sz w:val="22"/>
          <w:szCs w:val="22"/>
          <w:lang w:val="en-US"/>
        </w:rPr>
        <w:fldChar w:fldCharType="begin"/>
      </w:r>
      <w:r>
        <w:rPr>
          <w:sz w:val="22"/>
          <w:szCs w:val="22"/>
          <w:lang w:val="en-US"/>
        </w:rPr>
        <w:instrText xml:space="preserve"> REF _Ref489971018 \h </w:instrText>
      </w:r>
      <w:r>
        <w:rPr>
          <w:sz w:val="22"/>
          <w:szCs w:val="22"/>
          <w:lang w:val="en-US"/>
        </w:rPr>
      </w:r>
      <w:r>
        <w:rPr>
          <w:sz w:val="22"/>
          <w:szCs w:val="22"/>
          <w:lang w:val="en-US"/>
        </w:rPr>
        <w:fldChar w:fldCharType="separate"/>
      </w:r>
      <w:r w:rsidR="00F9384B" w:rsidRPr="004E0CBB">
        <w:rPr>
          <w:sz w:val="22"/>
          <w:lang w:val="en-US"/>
        </w:rPr>
        <w:t xml:space="preserve">Figure </w:t>
      </w:r>
      <w:r w:rsidR="00F9384B">
        <w:rPr>
          <w:noProof/>
          <w:sz w:val="22"/>
          <w:lang w:val="en-US"/>
        </w:rPr>
        <w:t>2</w:t>
      </w:r>
      <w:r>
        <w:rPr>
          <w:sz w:val="22"/>
          <w:szCs w:val="22"/>
          <w:lang w:val="en-US"/>
        </w:rPr>
        <w:fldChar w:fldCharType="end"/>
      </w:r>
      <w:r>
        <w:rPr>
          <w:sz w:val="22"/>
          <w:szCs w:val="22"/>
          <w:lang w:val="en-US"/>
        </w:rPr>
        <w:t>. One observation that was made is that</w:t>
      </w:r>
      <w:r w:rsidR="000D4127">
        <w:rPr>
          <w:sz w:val="22"/>
          <w:szCs w:val="22"/>
          <w:lang w:val="en-US"/>
        </w:rPr>
        <w:t xml:space="preserve"> the performance of the conventional PBCH decoder </w:t>
      </w:r>
      <w:r w:rsidR="000D4127" w:rsidRPr="000D4127">
        <w:rPr>
          <w:b/>
          <w:sz w:val="22"/>
          <w:szCs w:val="22"/>
          <w:lang w:val="en-US"/>
        </w:rPr>
        <w:t>with</w:t>
      </w:r>
      <w:r w:rsidR="000D4127">
        <w:rPr>
          <w:sz w:val="22"/>
          <w:szCs w:val="22"/>
          <w:lang w:val="en-US"/>
        </w:rPr>
        <w:t xml:space="preserve"> doubling of PBCH repetitions is still inferior to combining across PBCH TTIs </w:t>
      </w:r>
      <w:r w:rsidR="000D4127" w:rsidRPr="000D4127">
        <w:rPr>
          <w:b/>
          <w:sz w:val="22"/>
          <w:szCs w:val="22"/>
          <w:lang w:val="en-US"/>
        </w:rPr>
        <w:t>without</w:t>
      </w:r>
      <w:r w:rsidR="000D4127">
        <w:rPr>
          <w:b/>
          <w:sz w:val="22"/>
          <w:szCs w:val="22"/>
          <w:lang w:val="en-US"/>
        </w:rPr>
        <w:t xml:space="preserve"> </w:t>
      </w:r>
      <w:r w:rsidR="000D4127">
        <w:rPr>
          <w:sz w:val="22"/>
          <w:szCs w:val="22"/>
          <w:lang w:val="en-US"/>
        </w:rPr>
        <w:t>such doubling. Compare for instance the 90</w:t>
      </w:r>
      <w:r w:rsidR="000D4127" w:rsidRPr="000D4127">
        <w:rPr>
          <w:sz w:val="22"/>
          <w:szCs w:val="22"/>
          <w:vertAlign w:val="superscript"/>
          <w:lang w:val="en-US"/>
        </w:rPr>
        <w:t>th</w:t>
      </w:r>
      <w:r w:rsidR="000D4127">
        <w:rPr>
          <w:sz w:val="22"/>
          <w:szCs w:val="22"/>
          <w:lang w:val="en-US"/>
        </w:rPr>
        <w:t xml:space="preserve"> percentile of the green curve in </w:t>
      </w:r>
      <w:r w:rsidR="000D4127">
        <w:rPr>
          <w:sz w:val="22"/>
          <w:szCs w:val="22"/>
          <w:lang w:val="en-US"/>
        </w:rPr>
        <w:fldChar w:fldCharType="begin"/>
      </w:r>
      <w:r w:rsidR="000D4127">
        <w:rPr>
          <w:sz w:val="22"/>
          <w:szCs w:val="22"/>
          <w:lang w:val="en-US"/>
        </w:rPr>
        <w:instrText xml:space="preserve"> REF _Ref489970739 \h </w:instrText>
      </w:r>
      <w:r w:rsidR="000D4127">
        <w:rPr>
          <w:sz w:val="22"/>
          <w:szCs w:val="22"/>
          <w:lang w:val="en-US"/>
        </w:rPr>
      </w:r>
      <w:r w:rsidR="000D4127">
        <w:rPr>
          <w:sz w:val="22"/>
          <w:szCs w:val="22"/>
          <w:lang w:val="en-US"/>
        </w:rPr>
        <w:fldChar w:fldCharType="separate"/>
      </w:r>
      <w:r w:rsidR="00F9384B" w:rsidRPr="00A37A6A">
        <w:rPr>
          <w:sz w:val="22"/>
          <w:lang w:val="en-US"/>
        </w:rPr>
        <w:t xml:space="preserve">Figure </w:t>
      </w:r>
      <w:r w:rsidR="00F9384B">
        <w:rPr>
          <w:noProof/>
          <w:sz w:val="22"/>
          <w:lang w:val="en-US"/>
        </w:rPr>
        <w:t>1</w:t>
      </w:r>
      <w:r w:rsidR="000D4127">
        <w:rPr>
          <w:sz w:val="22"/>
          <w:szCs w:val="22"/>
          <w:lang w:val="en-US"/>
        </w:rPr>
        <w:fldChar w:fldCharType="end"/>
      </w:r>
      <w:r w:rsidR="000D4127">
        <w:rPr>
          <w:sz w:val="22"/>
          <w:szCs w:val="22"/>
          <w:lang w:val="en-US"/>
        </w:rPr>
        <w:t xml:space="preserve"> (left) with the 90</w:t>
      </w:r>
      <w:r w:rsidR="000D4127" w:rsidRPr="000D4127">
        <w:rPr>
          <w:sz w:val="22"/>
          <w:szCs w:val="22"/>
          <w:vertAlign w:val="superscript"/>
          <w:lang w:val="en-US"/>
        </w:rPr>
        <w:t>th</w:t>
      </w:r>
      <w:r w:rsidR="000D4127">
        <w:rPr>
          <w:sz w:val="22"/>
          <w:szCs w:val="22"/>
          <w:lang w:val="en-US"/>
        </w:rPr>
        <w:t xml:space="preserve"> percentile of the </w:t>
      </w:r>
      <w:r w:rsidR="00C67D4F">
        <w:rPr>
          <w:sz w:val="22"/>
          <w:szCs w:val="22"/>
          <w:lang w:val="en-US"/>
        </w:rPr>
        <w:t xml:space="preserve">blue curve in </w:t>
      </w:r>
      <w:r w:rsidR="00C67D4F">
        <w:rPr>
          <w:sz w:val="22"/>
          <w:szCs w:val="22"/>
          <w:lang w:val="en-US"/>
        </w:rPr>
        <w:fldChar w:fldCharType="begin"/>
      </w:r>
      <w:r w:rsidR="00C67D4F">
        <w:rPr>
          <w:sz w:val="22"/>
          <w:szCs w:val="22"/>
          <w:lang w:val="en-US"/>
        </w:rPr>
        <w:instrText xml:space="preserve"> REF _Ref489971018 \h </w:instrText>
      </w:r>
      <w:r w:rsidR="00C67D4F">
        <w:rPr>
          <w:sz w:val="22"/>
          <w:szCs w:val="22"/>
          <w:lang w:val="en-US"/>
        </w:rPr>
      </w:r>
      <w:r w:rsidR="00C67D4F">
        <w:rPr>
          <w:sz w:val="22"/>
          <w:szCs w:val="22"/>
          <w:lang w:val="en-US"/>
        </w:rPr>
        <w:fldChar w:fldCharType="separate"/>
      </w:r>
      <w:r w:rsidR="00F9384B" w:rsidRPr="004E0CBB">
        <w:rPr>
          <w:sz w:val="22"/>
          <w:lang w:val="en-US"/>
        </w:rPr>
        <w:t xml:space="preserve">Figure </w:t>
      </w:r>
      <w:r w:rsidR="00F9384B">
        <w:rPr>
          <w:noProof/>
          <w:sz w:val="22"/>
          <w:lang w:val="en-US"/>
        </w:rPr>
        <w:t>2</w:t>
      </w:r>
      <w:r w:rsidR="00C67D4F">
        <w:rPr>
          <w:sz w:val="22"/>
          <w:szCs w:val="22"/>
          <w:lang w:val="en-US"/>
        </w:rPr>
        <w:fldChar w:fldCharType="end"/>
      </w:r>
      <w:r w:rsidR="00C67D4F">
        <w:rPr>
          <w:sz w:val="22"/>
          <w:szCs w:val="22"/>
          <w:lang w:val="en-US"/>
        </w:rPr>
        <w:t xml:space="preserve"> (left).</w:t>
      </w:r>
      <w:r w:rsidR="00167B18">
        <w:rPr>
          <w:sz w:val="22"/>
          <w:szCs w:val="22"/>
          <w:lang w:val="en-US"/>
        </w:rPr>
        <w:t xml:space="preserve"> Another observation that was made is that even after doubling the PBCH repetitions, the conventional PBCH decoder performance </w:t>
      </w:r>
      <w:r w:rsidR="00A02C47">
        <w:rPr>
          <w:sz w:val="22"/>
          <w:szCs w:val="22"/>
          <w:lang w:val="en-US"/>
        </w:rPr>
        <w:t>does</w:t>
      </w:r>
      <w:r w:rsidR="00167B18">
        <w:rPr>
          <w:sz w:val="22"/>
          <w:szCs w:val="22"/>
          <w:lang w:val="en-US"/>
        </w:rPr>
        <w:t xml:space="preserve"> not meet an acceptable M</w:t>
      </w:r>
      <w:r w:rsidR="00A02C47">
        <w:rPr>
          <w:sz w:val="22"/>
          <w:szCs w:val="22"/>
          <w:lang w:val="en-US"/>
        </w:rPr>
        <w:t>IB acquisition time at low SINR as the 90</w:t>
      </w:r>
      <w:r w:rsidR="00A02C47" w:rsidRPr="00A02C47">
        <w:rPr>
          <w:sz w:val="22"/>
          <w:szCs w:val="22"/>
          <w:vertAlign w:val="superscript"/>
          <w:lang w:val="en-US"/>
        </w:rPr>
        <w:t>th</w:t>
      </w:r>
      <w:r w:rsidR="00A02C47">
        <w:rPr>
          <w:sz w:val="22"/>
          <w:szCs w:val="22"/>
          <w:lang w:val="en-US"/>
        </w:rPr>
        <w:t xml:space="preserve"> percentile indicate a</w:t>
      </w:r>
      <w:r w:rsidR="001D54F2">
        <w:rPr>
          <w:sz w:val="22"/>
          <w:szCs w:val="22"/>
          <w:lang w:val="en-US"/>
        </w:rPr>
        <w:t xml:space="preserve">n acquisition time of 8 seconds. The simulations provided in </w:t>
      </w:r>
      <w:r w:rsidR="001D54F2">
        <w:rPr>
          <w:sz w:val="22"/>
          <w:szCs w:val="22"/>
          <w:lang w:val="en-US"/>
        </w:rPr>
        <w:fldChar w:fldCharType="begin"/>
      </w:r>
      <w:r w:rsidR="001D54F2">
        <w:rPr>
          <w:sz w:val="22"/>
          <w:szCs w:val="22"/>
          <w:lang w:val="en-US"/>
        </w:rPr>
        <w:instrText xml:space="preserve"> REF _Ref489969874 \r \h </w:instrText>
      </w:r>
      <w:r w:rsidR="001D54F2">
        <w:rPr>
          <w:sz w:val="22"/>
          <w:szCs w:val="22"/>
          <w:lang w:val="en-US"/>
        </w:rPr>
      </w:r>
      <w:r w:rsidR="001D54F2">
        <w:rPr>
          <w:sz w:val="22"/>
          <w:szCs w:val="22"/>
          <w:lang w:val="en-US"/>
        </w:rPr>
        <w:fldChar w:fldCharType="separate"/>
      </w:r>
      <w:r w:rsidR="00F9384B">
        <w:rPr>
          <w:sz w:val="22"/>
          <w:szCs w:val="22"/>
          <w:lang w:val="en-US"/>
        </w:rPr>
        <w:t>[3]</w:t>
      </w:r>
      <w:r w:rsidR="001D54F2">
        <w:rPr>
          <w:sz w:val="22"/>
          <w:szCs w:val="22"/>
          <w:lang w:val="en-US"/>
        </w:rPr>
        <w:fldChar w:fldCharType="end"/>
      </w:r>
      <w:r w:rsidR="001D54F2">
        <w:rPr>
          <w:sz w:val="22"/>
          <w:szCs w:val="22"/>
          <w:lang w:val="en-US"/>
        </w:rPr>
        <w:t xml:space="preserve"> further </w:t>
      </w:r>
      <w:r w:rsidR="00224C62">
        <w:rPr>
          <w:sz w:val="22"/>
          <w:szCs w:val="22"/>
          <w:lang w:val="en-US"/>
        </w:rPr>
        <w:t>were using</w:t>
      </w:r>
      <w:r w:rsidR="001D54F2">
        <w:rPr>
          <w:sz w:val="22"/>
          <w:szCs w:val="22"/>
          <w:lang w:val="en-US"/>
        </w:rPr>
        <w:t xml:space="preserve"> performance-enhancing techniques such as cross-subframe channel estimation.</w:t>
      </w:r>
    </w:p>
    <w:p w:rsidR="001D54F2" w:rsidRPr="000D4127" w:rsidRDefault="001D54F2" w:rsidP="004E0CBB">
      <w:pPr>
        <w:spacing w:before="240"/>
        <w:jc w:val="both"/>
        <w:rPr>
          <w:sz w:val="22"/>
          <w:szCs w:val="22"/>
          <w:lang w:val="en-US"/>
        </w:rPr>
      </w:pPr>
    </w:p>
    <w:p w:rsidR="004E0CBB" w:rsidRDefault="00A05CF8" w:rsidP="004E0CBB">
      <w:pPr>
        <w:keepNext/>
        <w:ind w:right="-621" w:hanging="720"/>
        <w:jc w:val="both"/>
      </w:pPr>
      <w:r>
        <w:rPr>
          <w:noProof/>
          <w:lang w:val="en-US"/>
        </w:rPr>
        <w:lastRenderedPageBreak/>
        <w:drawing>
          <wp:inline distT="0" distB="0" distL="0" distR="0" wp14:anchorId="167C1B71" wp14:editId="32358AB4">
            <wp:extent cx="3438144" cy="25786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BCH_CDF_doublerep_MCL_164dB.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38144" cy="2578608"/>
                    </a:xfrm>
                    <a:prstGeom prst="rect">
                      <a:avLst/>
                    </a:prstGeom>
                  </pic:spPr>
                </pic:pic>
              </a:graphicData>
            </a:graphic>
          </wp:inline>
        </w:drawing>
      </w:r>
      <w:r>
        <w:rPr>
          <w:noProof/>
          <w:lang w:val="en-US"/>
        </w:rPr>
        <w:drawing>
          <wp:inline distT="0" distB="0" distL="0" distR="0" wp14:anchorId="0B0D6CD3" wp14:editId="1D14A2E3">
            <wp:extent cx="3392424" cy="25420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BCH_CDF_doublerep_MCL_159dB.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92424" cy="2542032"/>
                    </a:xfrm>
                    <a:prstGeom prst="rect">
                      <a:avLst/>
                    </a:prstGeom>
                  </pic:spPr>
                </pic:pic>
              </a:graphicData>
            </a:graphic>
          </wp:inline>
        </w:drawing>
      </w:r>
    </w:p>
    <w:p w:rsidR="00497726" w:rsidRPr="004E0CBB" w:rsidRDefault="004E0CBB" w:rsidP="004E0CBB">
      <w:pPr>
        <w:pStyle w:val="Caption"/>
        <w:jc w:val="both"/>
        <w:rPr>
          <w:sz w:val="24"/>
          <w:szCs w:val="22"/>
          <w:lang w:val="en-US"/>
        </w:rPr>
      </w:pPr>
      <w:bookmarkStart w:id="4" w:name="_Ref489971018"/>
      <w:r w:rsidRPr="004E0CBB">
        <w:rPr>
          <w:sz w:val="22"/>
          <w:lang w:val="en-US"/>
        </w:rPr>
        <w:t xml:space="preserve">Figure </w:t>
      </w:r>
      <w:r w:rsidRPr="004E0CBB">
        <w:rPr>
          <w:sz w:val="22"/>
        </w:rPr>
        <w:fldChar w:fldCharType="begin"/>
      </w:r>
      <w:r w:rsidRPr="004E0CBB">
        <w:rPr>
          <w:sz w:val="22"/>
          <w:lang w:val="en-US"/>
        </w:rPr>
        <w:instrText xml:space="preserve"> SEQ Figure \* ARABIC </w:instrText>
      </w:r>
      <w:r w:rsidRPr="004E0CBB">
        <w:rPr>
          <w:sz w:val="22"/>
        </w:rPr>
        <w:fldChar w:fldCharType="separate"/>
      </w:r>
      <w:r w:rsidR="00F9384B">
        <w:rPr>
          <w:noProof/>
          <w:sz w:val="22"/>
          <w:lang w:val="en-US"/>
        </w:rPr>
        <w:t>2</w:t>
      </w:r>
      <w:r w:rsidRPr="004E0CBB">
        <w:rPr>
          <w:sz w:val="22"/>
        </w:rPr>
        <w:fldChar w:fldCharType="end"/>
      </w:r>
      <w:bookmarkEnd w:id="4"/>
      <w:r w:rsidRPr="004E0CBB">
        <w:rPr>
          <w:sz w:val="22"/>
          <w:lang w:val="en-US"/>
        </w:rPr>
        <w:t xml:space="preserve">: </w:t>
      </w:r>
      <w:r w:rsidRPr="004E0CBB">
        <w:rPr>
          <w:b w:val="0"/>
          <w:sz w:val="22"/>
          <w:lang w:val="en-US"/>
        </w:rPr>
        <w:t xml:space="preserve">MIB acquisition at MCL = </w:t>
      </w:r>
      <w:r>
        <w:rPr>
          <w:b w:val="0"/>
          <w:sz w:val="22"/>
          <w:lang w:val="en-US"/>
        </w:rPr>
        <w:t xml:space="preserve">164 dB (left) and </w:t>
      </w:r>
      <w:r w:rsidRPr="004E0CBB">
        <w:rPr>
          <w:b w:val="0"/>
          <w:sz w:val="22"/>
          <w:lang w:val="en-US"/>
        </w:rPr>
        <w:t xml:space="preserve">159 dB </w:t>
      </w:r>
      <w:r>
        <w:rPr>
          <w:b w:val="0"/>
          <w:sz w:val="22"/>
          <w:lang w:val="en-US"/>
        </w:rPr>
        <w:t xml:space="preserve">(right) </w:t>
      </w:r>
      <w:r w:rsidRPr="004E0CBB">
        <w:rPr>
          <w:b w:val="0"/>
          <w:sz w:val="22"/>
          <w:lang w:val="en-US"/>
        </w:rPr>
        <w:t xml:space="preserve">assuming </w:t>
      </w:r>
      <w:r w:rsidR="000D4127">
        <w:rPr>
          <w:b w:val="0"/>
          <w:sz w:val="22"/>
          <w:lang w:val="en-US"/>
        </w:rPr>
        <w:t>doubling of</w:t>
      </w:r>
      <w:r w:rsidRPr="004E0CBB">
        <w:rPr>
          <w:b w:val="0"/>
          <w:sz w:val="22"/>
          <w:lang w:val="en-US"/>
        </w:rPr>
        <w:t xml:space="preserve"> PBCH repetitions</w:t>
      </w:r>
      <w:r>
        <w:rPr>
          <w:b w:val="0"/>
          <w:sz w:val="22"/>
          <w:lang w:val="en-US"/>
        </w:rPr>
        <w:t>.</w:t>
      </w:r>
    </w:p>
    <w:p w:rsidR="00A05CF8" w:rsidRPr="00A05CF8" w:rsidRDefault="00A05CF8" w:rsidP="00A05CF8">
      <w:pPr>
        <w:pStyle w:val="Caption"/>
        <w:rPr>
          <w:lang w:val="en-US"/>
        </w:rPr>
      </w:pPr>
    </w:p>
    <w:p w:rsidR="00D37D9C" w:rsidRPr="00A05CF8" w:rsidRDefault="008D3F93" w:rsidP="00944EED">
      <w:pPr>
        <w:jc w:val="both"/>
        <w:rPr>
          <w:sz w:val="22"/>
          <w:szCs w:val="22"/>
          <w:lang w:val="en-US"/>
        </w:rPr>
      </w:pPr>
      <w:r>
        <w:rPr>
          <w:sz w:val="22"/>
          <w:szCs w:val="22"/>
          <w:lang w:val="en-US"/>
        </w:rPr>
        <w:t>We make the following observations:</w:t>
      </w:r>
    </w:p>
    <w:p w:rsidR="008D3F93" w:rsidRDefault="008D3F93" w:rsidP="008D3F93">
      <w:pPr>
        <w:spacing w:before="240"/>
        <w:jc w:val="both"/>
        <w:rPr>
          <w:sz w:val="22"/>
          <w:szCs w:val="22"/>
          <w:lang w:val="en-US"/>
        </w:rPr>
      </w:pPr>
      <w:r>
        <w:rPr>
          <w:b/>
          <w:sz w:val="22"/>
          <w:szCs w:val="22"/>
          <w:lang w:val="en-US"/>
        </w:rPr>
        <w:t xml:space="preserve">Observation 1: </w:t>
      </w:r>
      <w:r w:rsidRPr="008D3F93">
        <w:rPr>
          <w:sz w:val="22"/>
          <w:szCs w:val="22"/>
          <w:lang w:val="en-US"/>
        </w:rPr>
        <w:t xml:space="preserve">A </w:t>
      </w:r>
      <w:r>
        <w:rPr>
          <w:sz w:val="22"/>
          <w:szCs w:val="22"/>
          <w:lang w:val="en-US"/>
        </w:rPr>
        <w:t>PBCH decoder that combines across 40ms PBCH periods outperforms a conventional PBCH decoder, even when the latter is allowed to use twice as many PBCH repetitions. The difference in acquisition time is about 5 times.</w:t>
      </w:r>
    </w:p>
    <w:p w:rsidR="008E0F0C" w:rsidRDefault="008D3F93" w:rsidP="008D3F93">
      <w:pPr>
        <w:spacing w:before="240"/>
        <w:jc w:val="both"/>
        <w:rPr>
          <w:sz w:val="22"/>
          <w:szCs w:val="22"/>
          <w:lang w:val="en-US"/>
        </w:rPr>
      </w:pPr>
      <w:r>
        <w:rPr>
          <w:b/>
          <w:sz w:val="22"/>
          <w:szCs w:val="22"/>
          <w:lang w:val="en-US"/>
        </w:rPr>
        <w:t>Observation 2:</w:t>
      </w:r>
      <w:r>
        <w:rPr>
          <w:sz w:val="22"/>
          <w:szCs w:val="22"/>
          <w:lang w:val="en-US"/>
        </w:rPr>
        <w:t xml:space="preserve"> Anchor carrier capacity is already </w:t>
      </w:r>
      <w:r w:rsidR="008E0F0C">
        <w:rPr>
          <w:sz w:val="22"/>
          <w:szCs w:val="22"/>
          <w:lang w:val="en-US"/>
        </w:rPr>
        <w:t xml:space="preserve">scarce, </w:t>
      </w:r>
      <w:r>
        <w:rPr>
          <w:sz w:val="22"/>
          <w:szCs w:val="22"/>
          <w:lang w:val="en-US"/>
        </w:rPr>
        <w:t>and introducing further repetitions of PBCH would reduce the available capacity even further.</w:t>
      </w:r>
      <w:r w:rsidR="008E0F0C">
        <w:rPr>
          <w:sz w:val="22"/>
          <w:szCs w:val="22"/>
          <w:lang w:val="en-US"/>
        </w:rPr>
        <w:t xml:space="preserve"> As indicated by the simulation results, it is not clear that increased repetition of PBCH would meet the objective of significantly reducing the MIB acquisition time.</w:t>
      </w:r>
    </w:p>
    <w:p w:rsidR="008E0F0C" w:rsidRDefault="008E0F0C" w:rsidP="008D3F93">
      <w:pPr>
        <w:spacing w:before="240"/>
        <w:jc w:val="both"/>
        <w:rPr>
          <w:sz w:val="22"/>
          <w:szCs w:val="22"/>
          <w:lang w:val="en-US"/>
        </w:rPr>
      </w:pPr>
      <w:r>
        <w:rPr>
          <w:b/>
          <w:sz w:val="22"/>
          <w:szCs w:val="22"/>
          <w:lang w:val="en-US"/>
        </w:rPr>
        <w:t>Observation 3:</w:t>
      </w:r>
      <w:r>
        <w:rPr>
          <w:sz w:val="22"/>
          <w:szCs w:val="22"/>
          <w:lang w:val="en-US"/>
        </w:rPr>
        <w:t xml:space="preserve"> Reduction of the MIB acquisition time has a positive imp</w:t>
      </w:r>
      <w:r w:rsidR="00D4591C">
        <w:rPr>
          <w:sz w:val="22"/>
          <w:szCs w:val="22"/>
          <w:lang w:val="en-US"/>
        </w:rPr>
        <w:t>act on the UE power consumption</w:t>
      </w:r>
      <w:r>
        <w:rPr>
          <w:sz w:val="22"/>
          <w:szCs w:val="22"/>
          <w:lang w:val="en-US"/>
        </w:rPr>
        <w:t xml:space="preserve"> since the radio is the single biggest consumer, and with less radio time needed, power can be saved.</w:t>
      </w:r>
    </w:p>
    <w:p w:rsidR="00772E06" w:rsidRDefault="0032739B" w:rsidP="008D3F93">
      <w:pPr>
        <w:spacing w:before="240"/>
        <w:jc w:val="both"/>
        <w:rPr>
          <w:sz w:val="22"/>
          <w:szCs w:val="22"/>
          <w:lang w:val="en-US"/>
        </w:rPr>
      </w:pPr>
      <w:r>
        <w:rPr>
          <w:sz w:val="22"/>
          <w:szCs w:val="22"/>
          <w:lang w:val="en-US"/>
        </w:rPr>
        <w:t>Since it seems that increased repetitions will not solve the long MIB acquisition time, w</w:t>
      </w:r>
      <w:r w:rsidR="00772E06">
        <w:rPr>
          <w:sz w:val="22"/>
          <w:szCs w:val="22"/>
          <w:lang w:val="en-US"/>
        </w:rPr>
        <w:t xml:space="preserve">e propose </w:t>
      </w:r>
      <w:r w:rsidR="009B32B8">
        <w:rPr>
          <w:sz w:val="22"/>
          <w:szCs w:val="22"/>
          <w:lang w:val="en-US"/>
        </w:rPr>
        <w:t>that RAN4 considers usage of enh</w:t>
      </w:r>
      <w:r w:rsidR="00772E06">
        <w:rPr>
          <w:sz w:val="22"/>
          <w:szCs w:val="22"/>
          <w:lang w:val="en-US"/>
        </w:rPr>
        <w:t>anced PBCH decoders.</w:t>
      </w:r>
    </w:p>
    <w:p w:rsidR="00772E06" w:rsidRDefault="00772E06" w:rsidP="008D3F93">
      <w:pPr>
        <w:spacing w:before="240"/>
        <w:jc w:val="both"/>
        <w:rPr>
          <w:sz w:val="22"/>
          <w:szCs w:val="22"/>
          <w:lang w:val="en-US"/>
        </w:rPr>
      </w:pPr>
      <w:r>
        <w:rPr>
          <w:b/>
          <w:sz w:val="22"/>
          <w:szCs w:val="22"/>
          <w:lang w:val="en-US"/>
        </w:rPr>
        <w:t>Proposal 1:</w:t>
      </w:r>
      <w:r w:rsidR="009B32B8">
        <w:rPr>
          <w:sz w:val="22"/>
          <w:szCs w:val="22"/>
          <w:lang w:val="en-US"/>
        </w:rPr>
        <w:t xml:space="preserve"> Usage of enh</w:t>
      </w:r>
      <w:r>
        <w:rPr>
          <w:sz w:val="22"/>
          <w:szCs w:val="22"/>
          <w:lang w:val="en-US"/>
        </w:rPr>
        <w:t>anced PBCH decoders is to be baseline for core requirements on MIB acquisition time for efeMTC.</w:t>
      </w:r>
    </w:p>
    <w:p w:rsidR="0032739B" w:rsidRPr="008E0F0C" w:rsidRDefault="00772E06" w:rsidP="008D3F93">
      <w:pPr>
        <w:spacing w:before="240"/>
        <w:jc w:val="both"/>
        <w:rPr>
          <w:sz w:val="22"/>
          <w:szCs w:val="22"/>
          <w:lang w:val="en-US"/>
        </w:rPr>
      </w:pPr>
      <w:r>
        <w:rPr>
          <w:b/>
          <w:sz w:val="22"/>
          <w:szCs w:val="22"/>
          <w:lang w:val="en-US"/>
        </w:rPr>
        <w:t>Proposal 2:</w:t>
      </w:r>
      <w:r>
        <w:rPr>
          <w:sz w:val="22"/>
          <w:szCs w:val="22"/>
          <w:lang w:val="en-US"/>
        </w:rPr>
        <w:t xml:space="preserve"> A simulation campaign is </w:t>
      </w:r>
      <w:r w:rsidR="00306364">
        <w:rPr>
          <w:sz w:val="22"/>
          <w:szCs w:val="22"/>
          <w:lang w:val="en-US"/>
        </w:rPr>
        <w:t xml:space="preserve">to be </w:t>
      </w:r>
      <w:r>
        <w:rPr>
          <w:sz w:val="22"/>
          <w:szCs w:val="22"/>
          <w:lang w:val="en-US"/>
        </w:rPr>
        <w:t xml:space="preserve">carried out by interested companies. </w:t>
      </w:r>
      <w:r w:rsidR="009B32B8">
        <w:rPr>
          <w:sz w:val="22"/>
          <w:szCs w:val="22"/>
          <w:lang w:val="en-US"/>
        </w:rPr>
        <w:t>The particular design of the enh</w:t>
      </w:r>
      <w:r>
        <w:rPr>
          <w:sz w:val="22"/>
          <w:szCs w:val="22"/>
          <w:lang w:val="en-US"/>
        </w:rPr>
        <w:t xml:space="preserve">anced PBCH </w:t>
      </w:r>
      <w:r w:rsidR="00306364">
        <w:rPr>
          <w:sz w:val="22"/>
          <w:szCs w:val="22"/>
          <w:lang w:val="en-US"/>
        </w:rPr>
        <w:t>decoder is up to each contributing company.</w:t>
      </w:r>
      <w:r>
        <w:rPr>
          <w:sz w:val="22"/>
          <w:szCs w:val="22"/>
          <w:lang w:val="en-US"/>
        </w:rPr>
        <w:t xml:space="preserve"> </w:t>
      </w:r>
      <w:r w:rsidR="00306364">
        <w:rPr>
          <w:sz w:val="22"/>
          <w:szCs w:val="22"/>
          <w:lang w:val="en-US"/>
        </w:rPr>
        <w:t>Details of the simulation activities are settled and captured in a WF during the meeting.</w:t>
      </w:r>
    </w:p>
    <w:p w:rsidR="008D3F93" w:rsidRPr="00306364" w:rsidRDefault="00306364" w:rsidP="008D3F93">
      <w:pPr>
        <w:spacing w:before="240"/>
        <w:jc w:val="both"/>
        <w:rPr>
          <w:sz w:val="22"/>
          <w:szCs w:val="22"/>
          <w:lang w:val="en-US"/>
        </w:rPr>
      </w:pPr>
      <w:r>
        <w:rPr>
          <w:b/>
          <w:sz w:val="22"/>
          <w:szCs w:val="22"/>
          <w:lang w:val="en-US"/>
        </w:rPr>
        <w:t>Proposal 3:</w:t>
      </w:r>
      <w:r>
        <w:rPr>
          <w:sz w:val="22"/>
          <w:szCs w:val="22"/>
          <w:lang w:val="en-US"/>
        </w:rPr>
        <w:t xml:space="preserve"> As a partial response to the RAN1 LS, RAN4 confirms to RAN1 that it is undertaking studies on reduction of MIB acquisition t</w:t>
      </w:r>
      <w:r w:rsidR="009B32B8">
        <w:rPr>
          <w:sz w:val="22"/>
          <w:szCs w:val="22"/>
          <w:lang w:val="en-US"/>
        </w:rPr>
        <w:t>ime where the baseline is an enh</w:t>
      </w:r>
      <w:r>
        <w:rPr>
          <w:sz w:val="22"/>
          <w:szCs w:val="22"/>
          <w:lang w:val="en-US"/>
        </w:rPr>
        <w:t>anced PBCH decoder.</w:t>
      </w:r>
    </w:p>
    <w:p w:rsidR="00EA7325" w:rsidRPr="008D3F93" w:rsidRDefault="00EA7325" w:rsidP="0001606F">
      <w:pPr>
        <w:rPr>
          <w:sz w:val="22"/>
          <w:szCs w:val="22"/>
          <w:lang w:val="en-US"/>
        </w:rPr>
      </w:pPr>
    </w:p>
    <w:p w:rsidR="00A37A7F" w:rsidRDefault="00306364" w:rsidP="00306364">
      <w:pPr>
        <w:pStyle w:val="Heading1"/>
        <w:rPr>
          <w:lang w:val="en-US"/>
        </w:rPr>
      </w:pPr>
      <w:r>
        <w:rPr>
          <w:lang w:val="en-US"/>
        </w:rPr>
        <w:t>Summary and Conclusion</w:t>
      </w:r>
    </w:p>
    <w:p w:rsidR="00306364" w:rsidRDefault="00306364" w:rsidP="00306364">
      <w:pPr>
        <w:rPr>
          <w:sz w:val="22"/>
          <w:lang w:val="en-US"/>
        </w:rPr>
      </w:pPr>
      <w:r w:rsidRPr="00306364">
        <w:rPr>
          <w:sz w:val="22"/>
          <w:lang w:val="en-US"/>
        </w:rPr>
        <w:t xml:space="preserve">In </w:t>
      </w:r>
      <w:r>
        <w:rPr>
          <w:sz w:val="22"/>
          <w:lang w:val="en-US"/>
        </w:rPr>
        <w:t xml:space="preserve">this contribution we have looked into </w:t>
      </w:r>
      <w:r w:rsidR="00D639F3">
        <w:rPr>
          <w:sz w:val="22"/>
          <w:lang w:val="en-US"/>
        </w:rPr>
        <w:t>the usage of a</w:t>
      </w:r>
      <w:r w:rsidR="009B32B8">
        <w:rPr>
          <w:sz w:val="22"/>
          <w:lang w:val="en-US"/>
        </w:rPr>
        <w:t>n enh</w:t>
      </w:r>
      <w:r w:rsidR="00D639F3">
        <w:rPr>
          <w:sz w:val="22"/>
          <w:lang w:val="en-US"/>
        </w:rPr>
        <w:t>anced PBCH decoder for meeting the objectives in efeMTC to shorten the SI acquisition time. The following observations are made:</w:t>
      </w:r>
    </w:p>
    <w:p w:rsidR="00D639F3" w:rsidRDefault="00D639F3" w:rsidP="00D639F3">
      <w:pPr>
        <w:spacing w:before="240"/>
        <w:jc w:val="both"/>
        <w:rPr>
          <w:sz w:val="22"/>
          <w:szCs w:val="22"/>
          <w:lang w:val="en-US"/>
        </w:rPr>
      </w:pPr>
      <w:r>
        <w:rPr>
          <w:b/>
          <w:sz w:val="22"/>
          <w:szCs w:val="22"/>
          <w:lang w:val="en-US"/>
        </w:rPr>
        <w:t xml:space="preserve">Observation 1: </w:t>
      </w:r>
      <w:r w:rsidRPr="008D3F93">
        <w:rPr>
          <w:sz w:val="22"/>
          <w:szCs w:val="22"/>
          <w:lang w:val="en-US"/>
        </w:rPr>
        <w:t xml:space="preserve">A </w:t>
      </w:r>
      <w:r>
        <w:rPr>
          <w:sz w:val="22"/>
          <w:szCs w:val="22"/>
          <w:lang w:val="en-US"/>
        </w:rPr>
        <w:t>PBCH decoder that combines across 40ms PBCH periods outperforms a conventional PBCH decoder, even when the latter is allowed to use twice as many PBCH repetitions. The difference in acquisition time is about 5 times.</w:t>
      </w:r>
    </w:p>
    <w:p w:rsidR="00D639F3" w:rsidRDefault="00D639F3" w:rsidP="00D639F3">
      <w:pPr>
        <w:spacing w:before="240"/>
        <w:jc w:val="both"/>
        <w:rPr>
          <w:sz w:val="22"/>
          <w:szCs w:val="22"/>
          <w:lang w:val="en-US"/>
        </w:rPr>
      </w:pPr>
      <w:r>
        <w:rPr>
          <w:b/>
          <w:sz w:val="22"/>
          <w:szCs w:val="22"/>
          <w:lang w:val="en-US"/>
        </w:rPr>
        <w:lastRenderedPageBreak/>
        <w:t>Observation 2:</w:t>
      </w:r>
      <w:r>
        <w:rPr>
          <w:sz w:val="22"/>
          <w:szCs w:val="22"/>
          <w:lang w:val="en-US"/>
        </w:rPr>
        <w:t xml:space="preserve"> Anchor carrier capacity is already scarce, and introducing further repetitions of PBCH would reduce the available capacity even further. As indicated by the simulation results, it is not clear that increased repetition of PBCH would meet the objective of significantly reducing the MIB acquisition time.</w:t>
      </w:r>
    </w:p>
    <w:p w:rsidR="00D639F3" w:rsidRDefault="00D639F3" w:rsidP="00D639F3">
      <w:pPr>
        <w:spacing w:before="240"/>
        <w:jc w:val="both"/>
        <w:rPr>
          <w:sz w:val="22"/>
          <w:szCs w:val="22"/>
          <w:lang w:val="en-US"/>
        </w:rPr>
      </w:pPr>
      <w:r>
        <w:rPr>
          <w:b/>
          <w:sz w:val="22"/>
          <w:szCs w:val="22"/>
          <w:lang w:val="en-US"/>
        </w:rPr>
        <w:t>Observation 3:</w:t>
      </w:r>
      <w:r>
        <w:rPr>
          <w:sz w:val="22"/>
          <w:szCs w:val="22"/>
          <w:lang w:val="en-US"/>
        </w:rPr>
        <w:t xml:space="preserve"> Reduction of the MIB acquisition time has a positive impact on the UE power consumption since the radio is the single biggest consumer, and with less radio time needed, power can be saved.</w:t>
      </w:r>
    </w:p>
    <w:p w:rsidR="00D639F3" w:rsidRDefault="00697BA8" w:rsidP="00D639F3">
      <w:pPr>
        <w:spacing w:before="240"/>
        <w:jc w:val="both"/>
        <w:rPr>
          <w:sz w:val="22"/>
          <w:szCs w:val="22"/>
          <w:lang w:val="en-US"/>
        </w:rPr>
      </w:pPr>
      <w:r>
        <w:rPr>
          <w:sz w:val="22"/>
          <w:szCs w:val="22"/>
          <w:lang w:val="en-US"/>
        </w:rPr>
        <w:t>Based on the observations, we make the following proposals:</w:t>
      </w:r>
    </w:p>
    <w:p w:rsidR="00697BA8" w:rsidRDefault="00697BA8" w:rsidP="00697BA8">
      <w:pPr>
        <w:spacing w:before="240"/>
        <w:jc w:val="both"/>
        <w:rPr>
          <w:sz w:val="22"/>
          <w:szCs w:val="22"/>
          <w:lang w:val="en-US"/>
        </w:rPr>
      </w:pPr>
      <w:r>
        <w:rPr>
          <w:b/>
          <w:sz w:val="22"/>
          <w:szCs w:val="22"/>
          <w:lang w:val="en-US"/>
        </w:rPr>
        <w:t>Proposal 1:</w:t>
      </w:r>
      <w:r w:rsidR="009B32B8">
        <w:rPr>
          <w:sz w:val="22"/>
          <w:szCs w:val="22"/>
          <w:lang w:val="en-US"/>
        </w:rPr>
        <w:t xml:space="preserve"> Usage of enh</w:t>
      </w:r>
      <w:r>
        <w:rPr>
          <w:sz w:val="22"/>
          <w:szCs w:val="22"/>
          <w:lang w:val="en-US"/>
        </w:rPr>
        <w:t>anced PBCH decoders is to be baseline for core requirements on MIB acquisition time for efeMTC.</w:t>
      </w:r>
    </w:p>
    <w:p w:rsidR="00697BA8" w:rsidRPr="008E0F0C" w:rsidRDefault="00697BA8" w:rsidP="00697BA8">
      <w:pPr>
        <w:spacing w:before="240"/>
        <w:jc w:val="both"/>
        <w:rPr>
          <w:sz w:val="22"/>
          <w:szCs w:val="22"/>
          <w:lang w:val="en-US"/>
        </w:rPr>
      </w:pPr>
      <w:r>
        <w:rPr>
          <w:b/>
          <w:sz w:val="22"/>
          <w:szCs w:val="22"/>
          <w:lang w:val="en-US"/>
        </w:rPr>
        <w:t>Proposal 2:</w:t>
      </w:r>
      <w:r>
        <w:rPr>
          <w:sz w:val="22"/>
          <w:szCs w:val="22"/>
          <w:lang w:val="en-US"/>
        </w:rPr>
        <w:t xml:space="preserve"> A simulation campaign is to be carried out by interested companies. </w:t>
      </w:r>
      <w:r w:rsidR="009B32B8">
        <w:rPr>
          <w:sz w:val="22"/>
          <w:szCs w:val="22"/>
          <w:lang w:val="en-US"/>
        </w:rPr>
        <w:t>The particular design of the enh</w:t>
      </w:r>
      <w:r>
        <w:rPr>
          <w:sz w:val="22"/>
          <w:szCs w:val="22"/>
          <w:lang w:val="en-US"/>
        </w:rPr>
        <w:t>anced PBCH decoder is up to each contributing company. Details of the simulation activities are settled and captured in a WF during the meeting.</w:t>
      </w:r>
    </w:p>
    <w:p w:rsidR="00817D11" w:rsidRPr="00697BA8" w:rsidRDefault="00697BA8" w:rsidP="00697BA8">
      <w:pPr>
        <w:spacing w:before="240"/>
        <w:jc w:val="both"/>
        <w:rPr>
          <w:sz w:val="22"/>
          <w:szCs w:val="22"/>
          <w:lang w:val="en-US"/>
        </w:rPr>
      </w:pPr>
      <w:r>
        <w:rPr>
          <w:b/>
          <w:sz w:val="22"/>
          <w:szCs w:val="22"/>
          <w:lang w:val="en-US"/>
        </w:rPr>
        <w:t>Proposal 3:</w:t>
      </w:r>
      <w:r>
        <w:rPr>
          <w:sz w:val="22"/>
          <w:szCs w:val="22"/>
          <w:lang w:val="en-US"/>
        </w:rPr>
        <w:t xml:space="preserve"> As a partial response to the RAN1 LS, RAN4 confirms to RAN1 that it is undertaking studies on reduction of MIB acquisition t</w:t>
      </w:r>
      <w:r w:rsidR="009B32B8">
        <w:rPr>
          <w:sz w:val="22"/>
          <w:szCs w:val="22"/>
          <w:lang w:val="en-US"/>
        </w:rPr>
        <w:t>ime where the baseline is an enh</w:t>
      </w:r>
      <w:r>
        <w:rPr>
          <w:sz w:val="22"/>
          <w:szCs w:val="22"/>
          <w:lang w:val="en-US"/>
        </w:rPr>
        <w:t>anced PBCH decoder.</w:t>
      </w:r>
    </w:p>
    <w:p w:rsidR="00BD2156" w:rsidRPr="00862C73" w:rsidRDefault="00D80957" w:rsidP="00BB4411">
      <w:pPr>
        <w:pStyle w:val="Heading1"/>
        <w:pBdr>
          <w:top w:val="single" w:sz="12" w:space="2" w:color="auto"/>
        </w:pBdr>
        <w:rPr>
          <w:sz w:val="32"/>
          <w:lang w:val="en-CA"/>
        </w:rPr>
      </w:pPr>
      <w:r w:rsidRPr="00862C73">
        <w:rPr>
          <w:sz w:val="32"/>
          <w:lang w:val="en-CA"/>
        </w:rPr>
        <w:t>References</w:t>
      </w:r>
      <w:bookmarkEnd w:id="1"/>
      <w:bookmarkEnd w:id="2"/>
    </w:p>
    <w:p w:rsidR="004B1394" w:rsidRDefault="004B1394" w:rsidP="00021BBA">
      <w:pPr>
        <w:numPr>
          <w:ilvl w:val="0"/>
          <w:numId w:val="9"/>
        </w:numPr>
        <w:tabs>
          <w:tab w:val="left" w:pos="851"/>
        </w:tabs>
        <w:rPr>
          <w:rFonts w:ascii="Arial" w:hAnsi="Arial" w:cs="Arial"/>
          <w:sz w:val="22"/>
          <w:szCs w:val="22"/>
          <w:lang w:val="en-CA"/>
        </w:rPr>
      </w:pPr>
      <w:r>
        <w:rPr>
          <w:rFonts w:ascii="Arial" w:hAnsi="Arial" w:cs="Arial"/>
          <w:sz w:val="22"/>
          <w:szCs w:val="22"/>
          <w:lang w:val="en-CA"/>
        </w:rPr>
        <w:t>R1-1709834 “</w:t>
      </w:r>
      <w:r w:rsidRPr="004B1394">
        <w:rPr>
          <w:rFonts w:ascii="Arial" w:hAnsi="Arial" w:cs="Arial"/>
          <w:sz w:val="22"/>
          <w:szCs w:val="22"/>
          <w:lang w:val="en-CA"/>
        </w:rPr>
        <w:t>LS on System acquisition time reduction for Rel-15 LTE MTC</w:t>
      </w:r>
      <w:r>
        <w:rPr>
          <w:rFonts w:ascii="Arial" w:hAnsi="Arial" w:cs="Arial"/>
          <w:sz w:val="22"/>
          <w:szCs w:val="22"/>
          <w:lang w:val="en-CA"/>
        </w:rPr>
        <w:t>”, RAN1</w:t>
      </w:r>
    </w:p>
    <w:p w:rsidR="00FC5555" w:rsidRDefault="00FC5555" w:rsidP="00021BBA">
      <w:pPr>
        <w:numPr>
          <w:ilvl w:val="0"/>
          <w:numId w:val="9"/>
        </w:numPr>
        <w:tabs>
          <w:tab w:val="left" w:pos="851"/>
        </w:tabs>
        <w:rPr>
          <w:rFonts w:ascii="Arial" w:hAnsi="Arial" w:cs="Arial"/>
          <w:sz w:val="22"/>
          <w:szCs w:val="22"/>
          <w:lang w:val="en-CA"/>
        </w:rPr>
      </w:pPr>
      <w:bookmarkStart w:id="5" w:name="_Ref489965555"/>
      <w:r>
        <w:rPr>
          <w:rFonts w:ascii="Arial" w:hAnsi="Arial" w:cs="Arial"/>
          <w:sz w:val="22"/>
          <w:szCs w:val="22"/>
          <w:lang w:val="en-CA"/>
        </w:rPr>
        <w:t>R1-152190 “</w:t>
      </w:r>
      <w:r w:rsidR="00BC424A">
        <w:rPr>
          <w:rFonts w:ascii="Arial" w:hAnsi="Arial" w:cs="Arial"/>
          <w:sz w:val="22"/>
          <w:szCs w:val="22"/>
          <w:lang w:val="en-CA"/>
        </w:rPr>
        <w:t>PBCH repetition for MTC</w:t>
      </w:r>
      <w:r>
        <w:rPr>
          <w:rFonts w:ascii="Arial" w:hAnsi="Arial" w:cs="Arial"/>
          <w:sz w:val="22"/>
          <w:szCs w:val="22"/>
          <w:lang w:val="en-CA"/>
        </w:rPr>
        <w:t>”</w:t>
      </w:r>
      <w:r w:rsidR="00BC424A">
        <w:rPr>
          <w:rFonts w:ascii="Arial" w:hAnsi="Arial" w:cs="Arial"/>
          <w:sz w:val="22"/>
          <w:szCs w:val="22"/>
          <w:lang w:val="en-CA"/>
        </w:rPr>
        <w:t>, Ericsson</w:t>
      </w:r>
      <w:bookmarkEnd w:id="5"/>
    </w:p>
    <w:p w:rsidR="00E9303E" w:rsidRDefault="00E9303E" w:rsidP="00021BBA">
      <w:pPr>
        <w:numPr>
          <w:ilvl w:val="0"/>
          <w:numId w:val="9"/>
        </w:numPr>
        <w:tabs>
          <w:tab w:val="left" w:pos="851"/>
        </w:tabs>
        <w:rPr>
          <w:rFonts w:ascii="Arial" w:hAnsi="Arial" w:cs="Arial"/>
          <w:sz w:val="22"/>
          <w:szCs w:val="22"/>
          <w:lang w:val="en-CA"/>
        </w:rPr>
      </w:pPr>
      <w:bookmarkStart w:id="6" w:name="_Ref489969874"/>
      <w:r>
        <w:rPr>
          <w:rFonts w:ascii="Arial" w:hAnsi="Arial" w:cs="Arial"/>
          <w:sz w:val="22"/>
          <w:szCs w:val="22"/>
          <w:lang w:val="en-CA"/>
        </w:rPr>
        <w:t>R1-1709472 “</w:t>
      </w:r>
      <w:r w:rsidRPr="00E9303E">
        <w:rPr>
          <w:rFonts w:ascii="Arial" w:hAnsi="Arial" w:cs="Arial"/>
          <w:sz w:val="22"/>
          <w:szCs w:val="22"/>
          <w:lang w:val="en-CA"/>
        </w:rPr>
        <w:t>Reduced system acquisition time for MTC</w:t>
      </w:r>
      <w:r>
        <w:rPr>
          <w:rFonts w:ascii="Arial" w:hAnsi="Arial" w:cs="Arial"/>
          <w:sz w:val="22"/>
          <w:szCs w:val="22"/>
          <w:lang w:val="en-CA"/>
        </w:rPr>
        <w:t>”, Ericsson</w:t>
      </w:r>
      <w:bookmarkEnd w:id="6"/>
    </w:p>
    <w:p w:rsidR="00944EED" w:rsidRDefault="00944EED" w:rsidP="00021BBA">
      <w:pPr>
        <w:numPr>
          <w:ilvl w:val="0"/>
          <w:numId w:val="9"/>
        </w:numPr>
        <w:tabs>
          <w:tab w:val="left" w:pos="851"/>
        </w:tabs>
        <w:rPr>
          <w:rFonts w:ascii="Arial" w:hAnsi="Arial" w:cs="Arial"/>
          <w:sz w:val="22"/>
          <w:szCs w:val="22"/>
          <w:lang w:val="en-CA"/>
        </w:rPr>
      </w:pPr>
      <w:bookmarkStart w:id="7" w:name="_Ref489968217"/>
      <w:r>
        <w:rPr>
          <w:rFonts w:ascii="Arial" w:hAnsi="Arial" w:cs="Arial"/>
          <w:sz w:val="22"/>
          <w:szCs w:val="22"/>
          <w:lang w:val="en-CA"/>
        </w:rPr>
        <w:t xml:space="preserve">RP-170732 </w:t>
      </w:r>
      <w:r w:rsidRPr="00944EED">
        <w:rPr>
          <w:rFonts w:ascii="Arial" w:hAnsi="Arial" w:cs="Arial"/>
          <w:sz w:val="22"/>
          <w:szCs w:val="22"/>
          <w:lang w:val="en-CA"/>
        </w:rPr>
        <w:t>“</w:t>
      </w:r>
      <w:r w:rsidRPr="00DD7D85">
        <w:rPr>
          <w:rFonts w:ascii="Arial" w:hAnsi="Arial" w:cs="Arial"/>
          <w:sz w:val="22"/>
          <w:szCs w:val="22"/>
          <w:lang w:val="en-CA"/>
        </w:rPr>
        <w:t>New WID on Even further enhanced MTC for LTE</w:t>
      </w:r>
      <w:r>
        <w:rPr>
          <w:rFonts w:ascii="Arial" w:hAnsi="Arial" w:cs="Arial"/>
          <w:sz w:val="22"/>
          <w:szCs w:val="22"/>
          <w:lang w:val="en-CA"/>
        </w:rPr>
        <w:t>”</w:t>
      </w:r>
      <w:bookmarkEnd w:id="7"/>
      <w:r w:rsidR="004119FA">
        <w:rPr>
          <w:rFonts w:ascii="Arial" w:hAnsi="Arial" w:cs="Arial"/>
          <w:sz w:val="22"/>
          <w:szCs w:val="22"/>
          <w:lang w:val="en-CA"/>
        </w:rPr>
        <w:t>, Ericsson, Qualcomm</w:t>
      </w:r>
    </w:p>
    <w:p w:rsidR="006C15EF" w:rsidRDefault="00CC7994" w:rsidP="00021BBA">
      <w:pPr>
        <w:numPr>
          <w:ilvl w:val="0"/>
          <w:numId w:val="9"/>
        </w:numPr>
        <w:tabs>
          <w:tab w:val="left" w:pos="851"/>
        </w:tabs>
        <w:rPr>
          <w:rFonts w:ascii="Arial" w:hAnsi="Arial" w:cs="Arial"/>
          <w:sz w:val="22"/>
          <w:szCs w:val="22"/>
          <w:lang w:val="en-CA"/>
        </w:rPr>
      </w:pPr>
      <w:r w:rsidRPr="00862C73">
        <w:rPr>
          <w:rFonts w:ascii="Arial" w:hAnsi="Arial" w:cs="Arial"/>
          <w:sz w:val="22"/>
          <w:szCs w:val="22"/>
          <w:lang w:val="en-CA"/>
        </w:rPr>
        <w:t>36.133</w:t>
      </w:r>
    </w:p>
    <w:p w:rsidR="009F15C9" w:rsidRDefault="009F15C9" w:rsidP="009F15C9">
      <w:pPr>
        <w:tabs>
          <w:tab w:val="left" w:pos="851"/>
        </w:tabs>
        <w:rPr>
          <w:rFonts w:ascii="Arial" w:hAnsi="Arial" w:cs="Arial"/>
          <w:sz w:val="22"/>
          <w:szCs w:val="22"/>
          <w:lang w:val="en-CA"/>
        </w:rPr>
      </w:pPr>
    </w:p>
    <w:p w:rsidR="009F15C9" w:rsidRDefault="009F15C9" w:rsidP="00E42319">
      <w:pPr>
        <w:ind w:right="-261" w:hanging="846"/>
        <w:rPr>
          <w:lang w:val="en-CA"/>
        </w:rPr>
      </w:pPr>
    </w:p>
    <w:p w:rsidR="009F15C9" w:rsidRDefault="009F15C9" w:rsidP="00E42319">
      <w:pPr>
        <w:ind w:right="-261" w:hanging="846"/>
        <w:rPr>
          <w:lang w:val="en-CA"/>
        </w:rPr>
      </w:pPr>
    </w:p>
    <w:p w:rsidR="009F15C9" w:rsidRPr="009F15C9" w:rsidRDefault="009F15C9" w:rsidP="00E42319">
      <w:pPr>
        <w:ind w:right="-261" w:hanging="846"/>
        <w:rPr>
          <w:lang w:val="en-CA"/>
        </w:rPr>
      </w:pPr>
    </w:p>
    <w:p w:rsidR="00565823" w:rsidRDefault="00565823" w:rsidP="00E42319">
      <w:pPr>
        <w:ind w:right="-261" w:hanging="846"/>
        <w:rPr>
          <w:lang w:val="en-CA"/>
        </w:rPr>
      </w:pPr>
    </w:p>
    <w:p w:rsidR="00565823" w:rsidRDefault="00565823" w:rsidP="00E42319">
      <w:pPr>
        <w:ind w:right="-261" w:hanging="846"/>
        <w:rPr>
          <w:lang w:val="en-CA"/>
        </w:rPr>
      </w:pPr>
    </w:p>
    <w:p w:rsidR="009F15C9" w:rsidRPr="009F15C9" w:rsidRDefault="009F15C9" w:rsidP="00E42319">
      <w:pPr>
        <w:ind w:right="-261" w:hanging="846"/>
        <w:rPr>
          <w:lang w:val="en-CA"/>
        </w:rPr>
      </w:pPr>
    </w:p>
    <w:sectPr w:rsidR="009F15C9" w:rsidRPr="009F15C9"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B2A" w:rsidRDefault="00DE7B2A">
      <w:r>
        <w:separator/>
      </w:r>
    </w:p>
  </w:endnote>
  <w:endnote w:type="continuationSeparator" w:id="0">
    <w:p w:rsidR="00DE7B2A" w:rsidRDefault="00DE7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74056">
      <w:rPr>
        <w:rStyle w:val="PageNumber"/>
        <w:noProof/>
      </w:rPr>
      <w:t>1</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B2A" w:rsidRDefault="00DE7B2A">
      <w:r>
        <w:separator/>
      </w:r>
    </w:p>
  </w:footnote>
  <w:footnote w:type="continuationSeparator" w:id="0">
    <w:p w:rsidR="00DE7B2A" w:rsidRDefault="00DE7B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971DE"/>
    <w:multiLevelType w:val="hybridMultilevel"/>
    <w:tmpl w:val="32EA92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2"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15:restartNumberingAfterBreak="0">
    <w:nsid w:val="7AB30041"/>
    <w:multiLevelType w:val="hybridMultilevel"/>
    <w:tmpl w:val="E056C09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46"/>
  </w:num>
  <w:num w:numId="3">
    <w:abstractNumId w:val="43"/>
  </w:num>
  <w:num w:numId="4">
    <w:abstractNumId w:val="18"/>
  </w:num>
  <w:num w:numId="5">
    <w:abstractNumId w:val="26"/>
  </w:num>
  <w:num w:numId="6">
    <w:abstractNumId w:val="1"/>
  </w:num>
  <w:num w:numId="7">
    <w:abstractNumId w:val="0"/>
  </w:num>
  <w:num w:numId="8">
    <w:abstractNumId w:val="47"/>
  </w:num>
  <w:num w:numId="9">
    <w:abstractNumId w:val="35"/>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8"/>
  </w:num>
  <w:num w:numId="20">
    <w:abstractNumId w:val="8"/>
  </w:num>
  <w:num w:numId="21">
    <w:abstractNumId w:val="37"/>
  </w:num>
  <w:num w:numId="22">
    <w:abstractNumId w:val="40"/>
  </w:num>
  <w:num w:numId="23">
    <w:abstractNumId w:val="27"/>
  </w:num>
  <w:num w:numId="24">
    <w:abstractNumId w:val="10"/>
  </w:num>
  <w:num w:numId="25">
    <w:abstractNumId w:val="39"/>
  </w:num>
  <w:num w:numId="26">
    <w:abstractNumId w:val="12"/>
  </w:num>
  <w:num w:numId="27">
    <w:abstractNumId w:val="43"/>
  </w:num>
  <w:num w:numId="28">
    <w:abstractNumId w:val="32"/>
  </w:num>
  <w:num w:numId="29">
    <w:abstractNumId w:val="19"/>
  </w:num>
  <w:num w:numId="30">
    <w:abstractNumId w:val="11"/>
  </w:num>
  <w:num w:numId="31">
    <w:abstractNumId w:val="43"/>
  </w:num>
  <w:num w:numId="32">
    <w:abstractNumId w:val="5"/>
  </w:num>
  <w:num w:numId="33">
    <w:abstractNumId w:val="23"/>
  </w:num>
  <w:num w:numId="34">
    <w:abstractNumId w:val="34"/>
  </w:num>
  <w:num w:numId="35">
    <w:abstractNumId w:val="24"/>
  </w:num>
  <w:num w:numId="36">
    <w:abstractNumId w:val="31"/>
  </w:num>
  <w:num w:numId="37">
    <w:abstractNumId w:val="13"/>
  </w:num>
  <w:num w:numId="38">
    <w:abstractNumId w:val="41"/>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 w:numId="46">
    <w:abstractNumId w:val="42"/>
  </w:num>
  <w:num w:numId="47">
    <w:abstractNumId w:val="45"/>
  </w:num>
  <w:num w:numId="48">
    <w:abstractNumId w:val="30"/>
  </w:num>
  <w:num w:numId="49">
    <w:abstractNumId w:val="33"/>
  </w:num>
  <w:num w:numId="50">
    <w:abstractNumId w:val="4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76E"/>
    <w:rsid w:val="00003EC2"/>
    <w:rsid w:val="000040C9"/>
    <w:rsid w:val="00004A77"/>
    <w:rsid w:val="00004D7D"/>
    <w:rsid w:val="00004F8E"/>
    <w:rsid w:val="00005313"/>
    <w:rsid w:val="000054B2"/>
    <w:rsid w:val="00005E2A"/>
    <w:rsid w:val="0000741B"/>
    <w:rsid w:val="000103F2"/>
    <w:rsid w:val="000113B5"/>
    <w:rsid w:val="000118B2"/>
    <w:rsid w:val="000127FB"/>
    <w:rsid w:val="00012931"/>
    <w:rsid w:val="00012CF0"/>
    <w:rsid w:val="0001351C"/>
    <w:rsid w:val="00014C5F"/>
    <w:rsid w:val="0001579B"/>
    <w:rsid w:val="0001606F"/>
    <w:rsid w:val="0001686B"/>
    <w:rsid w:val="00017E83"/>
    <w:rsid w:val="00017F08"/>
    <w:rsid w:val="000203E8"/>
    <w:rsid w:val="00021BBA"/>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101"/>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1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4127"/>
    <w:rsid w:val="000D5A72"/>
    <w:rsid w:val="000D6430"/>
    <w:rsid w:val="000D6658"/>
    <w:rsid w:val="000D719C"/>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29"/>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8CF"/>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552E"/>
    <w:rsid w:val="00126DD9"/>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67B18"/>
    <w:rsid w:val="0017131E"/>
    <w:rsid w:val="001721B0"/>
    <w:rsid w:val="00172582"/>
    <w:rsid w:val="00172A29"/>
    <w:rsid w:val="00172A95"/>
    <w:rsid w:val="001749EC"/>
    <w:rsid w:val="00174B7F"/>
    <w:rsid w:val="00174D74"/>
    <w:rsid w:val="0017575D"/>
    <w:rsid w:val="001760D7"/>
    <w:rsid w:val="00176C80"/>
    <w:rsid w:val="001776B3"/>
    <w:rsid w:val="00177D2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412"/>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A5E"/>
    <w:rsid w:val="001D1B15"/>
    <w:rsid w:val="001D20CB"/>
    <w:rsid w:val="001D345B"/>
    <w:rsid w:val="001D3968"/>
    <w:rsid w:val="001D40CE"/>
    <w:rsid w:val="001D4BC3"/>
    <w:rsid w:val="001D500E"/>
    <w:rsid w:val="001D54F2"/>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4C62"/>
    <w:rsid w:val="0022547F"/>
    <w:rsid w:val="00225680"/>
    <w:rsid w:val="00226602"/>
    <w:rsid w:val="00226610"/>
    <w:rsid w:val="00226DDB"/>
    <w:rsid w:val="00227498"/>
    <w:rsid w:val="0023122C"/>
    <w:rsid w:val="002316E8"/>
    <w:rsid w:val="00231CAA"/>
    <w:rsid w:val="002331A7"/>
    <w:rsid w:val="00233D8D"/>
    <w:rsid w:val="00234898"/>
    <w:rsid w:val="00234CF8"/>
    <w:rsid w:val="00235165"/>
    <w:rsid w:val="002356BB"/>
    <w:rsid w:val="00235F3E"/>
    <w:rsid w:val="00236927"/>
    <w:rsid w:val="00236FB3"/>
    <w:rsid w:val="00237E80"/>
    <w:rsid w:val="00240F42"/>
    <w:rsid w:val="00241CC6"/>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004"/>
    <w:rsid w:val="002A4407"/>
    <w:rsid w:val="002A4455"/>
    <w:rsid w:val="002A4A87"/>
    <w:rsid w:val="002A5546"/>
    <w:rsid w:val="002A5567"/>
    <w:rsid w:val="002A5593"/>
    <w:rsid w:val="002A5CDB"/>
    <w:rsid w:val="002A66CF"/>
    <w:rsid w:val="002B0D9B"/>
    <w:rsid w:val="002B1061"/>
    <w:rsid w:val="002B1070"/>
    <w:rsid w:val="002B2482"/>
    <w:rsid w:val="002B27E4"/>
    <w:rsid w:val="002B2CC4"/>
    <w:rsid w:val="002B2D6E"/>
    <w:rsid w:val="002B2F1B"/>
    <w:rsid w:val="002B3324"/>
    <w:rsid w:val="002B3532"/>
    <w:rsid w:val="002B373F"/>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6CA"/>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636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6F"/>
    <w:rsid w:val="003212E5"/>
    <w:rsid w:val="003230CB"/>
    <w:rsid w:val="00323BF8"/>
    <w:rsid w:val="003248D7"/>
    <w:rsid w:val="00325A32"/>
    <w:rsid w:val="00326592"/>
    <w:rsid w:val="0032739B"/>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6C5"/>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3AD3"/>
    <w:rsid w:val="0038443A"/>
    <w:rsid w:val="003848A6"/>
    <w:rsid w:val="00385384"/>
    <w:rsid w:val="003854A3"/>
    <w:rsid w:val="00385FA4"/>
    <w:rsid w:val="003862A7"/>
    <w:rsid w:val="00386372"/>
    <w:rsid w:val="00390123"/>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463"/>
    <w:rsid w:val="003D161A"/>
    <w:rsid w:val="003D1DBF"/>
    <w:rsid w:val="003D1E8B"/>
    <w:rsid w:val="003D30C7"/>
    <w:rsid w:val="003D38D0"/>
    <w:rsid w:val="003D43E9"/>
    <w:rsid w:val="003D4BC9"/>
    <w:rsid w:val="003D51DB"/>
    <w:rsid w:val="003D52BA"/>
    <w:rsid w:val="003D5A1D"/>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19FA"/>
    <w:rsid w:val="0041278B"/>
    <w:rsid w:val="004138E6"/>
    <w:rsid w:val="00413C10"/>
    <w:rsid w:val="0041400B"/>
    <w:rsid w:val="004140E3"/>
    <w:rsid w:val="00414DCA"/>
    <w:rsid w:val="00414DDB"/>
    <w:rsid w:val="004156F4"/>
    <w:rsid w:val="00415B6F"/>
    <w:rsid w:val="004165F9"/>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946"/>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04"/>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726"/>
    <w:rsid w:val="00497D0B"/>
    <w:rsid w:val="004A0280"/>
    <w:rsid w:val="004A03DE"/>
    <w:rsid w:val="004A10C1"/>
    <w:rsid w:val="004A152D"/>
    <w:rsid w:val="004A25A6"/>
    <w:rsid w:val="004A3CDF"/>
    <w:rsid w:val="004A4493"/>
    <w:rsid w:val="004A53B9"/>
    <w:rsid w:val="004A55CF"/>
    <w:rsid w:val="004A5C0E"/>
    <w:rsid w:val="004A6138"/>
    <w:rsid w:val="004A6415"/>
    <w:rsid w:val="004A67FB"/>
    <w:rsid w:val="004A6C7A"/>
    <w:rsid w:val="004A7742"/>
    <w:rsid w:val="004A799B"/>
    <w:rsid w:val="004B1394"/>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7F7"/>
    <w:rsid w:val="004E0A86"/>
    <w:rsid w:val="004E0CBB"/>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5F6B"/>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5D"/>
    <w:rsid w:val="00543366"/>
    <w:rsid w:val="00543D5A"/>
    <w:rsid w:val="005446D8"/>
    <w:rsid w:val="005451E2"/>
    <w:rsid w:val="00545F87"/>
    <w:rsid w:val="005462FE"/>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823"/>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5A5A"/>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5F7972"/>
    <w:rsid w:val="005F7AE4"/>
    <w:rsid w:val="00600701"/>
    <w:rsid w:val="00601706"/>
    <w:rsid w:val="00601F4A"/>
    <w:rsid w:val="0060388C"/>
    <w:rsid w:val="00603D9B"/>
    <w:rsid w:val="00603F1F"/>
    <w:rsid w:val="00603FF3"/>
    <w:rsid w:val="0060442E"/>
    <w:rsid w:val="00604928"/>
    <w:rsid w:val="00605384"/>
    <w:rsid w:val="00606A30"/>
    <w:rsid w:val="006070DC"/>
    <w:rsid w:val="0060762B"/>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6338"/>
    <w:rsid w:val="00637721"/>
    <w:rsid w:val="00637971"/>
    <w:rsid w:val="00637D7A"/>
    <w:rsid w:val="0064080D"/>
    <w:rsid w:val="00640F3F"/>
    <w:rsid w:val="00641CEF"/>
    <w:rsid w:val="0064268E"/>
    <w:rsid w:val="00642A65"/>
    <w:rsid w:val="00643300"/>
    <w:rsid w:val="00644056"/>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1938"/>
    <w:rsid w:val="006728DC"/>
    <w:rsid w:val="00672C53"/>
    <w:rsid w:val="00672D88"/>
    <w:rsid w:val="00672F55"/>
    <w:rsid w:val="00674056"/>
    <w:rsid w:val="0067499A"/>
    <w:rsid w:val="00675301"/>
    <w:rsid w:val="00675B66"/>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2A16"/>
    <w:rsid w:val="006933FC"/>
    <w:rsid w:val="0069386C"/>
    <w:rsid w:val="00693A27"/>
    <w:rsid w:val="00693D6C"/>
    <w:rsid w:val="0069441B"/>
    <w:rsid w:val="00695646"/>
    <w:rsid w:val="00696002"/>
    <w:rsid w:val="00696CC9"/>
    <w:rsid w:val="00696E12"/>
    <w:rsid w:val="006973DB"/>
    <w:rsid w:val="0069743D"/>
    <w:rsid w:val="0069752A"/>
    <w:rsid w:val="00697BA8"/>
    <w:rsid w:val="00697F18"/>
    <w:rsid w:val="006A1049"/>
    <w:rsid w:val="006A1488"/>
    <w:rsid w:val="006A2391"/>
    <w:rsid w:val="006A277D"/>
    <w:rsid w:val="006A2DAF"/>
    <w:rsid w:val="006A2F28"/>
    <w:rsid w:val="006A37E7"/>
    <w:rsid w:val="006A4031"/>
    <w:rsid w:val="006A4F90"/>
    <w:rsid w:val="006A5D7B"/>
    <w:rsid w:val="006A665A"/>
    <w:rsid w:val="006A66CB"/>
    <w:rsid w:val="006A6A94"/>
    <w:rsid w:val="006A6FBE"/>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5EF"/>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A2B"/>
    <w:rsid w:val="006F2C29"/>
    <w:rsid w:val="006F390D"/>
    <w:rsid w:val="006F6047"/>
    <w:rsid w:val="006F62AA"/>
    <w:rsid w:val="006F675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712"/>
    <w:rsid w:val="00737AEA"/>
    <w:rsid w:val="007407DC"/>
    <w:rsid w:val="007423AC"/>
    <w:rsid w:val="00742894"/>
    <w:rsid w:val="00742C86"/>
    <w:rsid w:val="007432E6"/>
    <w:rsid w:val="007437A1"/>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2E06"/>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5BA1"/>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AB6"/>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28"/>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17D11"/>
    <w:rsid w:val="008211E0"/>
    <w:rsid w:val="00821510"/>
    <w:rsid w:val="008229C3"/>
    <w:rsid w:val="00823D48"/>
    <w:rsid w:val="00825B11"/>
    <w:rsid w:val="0082636F"/>
    <w:rsid w:val="00826ABB"/>
    <w:rsid w:val="00826CD7"/>
    <w:rsid w:val="00826F5B"/>
    <w:rsid w:val="00827129"/>
    <w:rsid w:val="00827873"/>
    <w:rsid w:val="00827B02"/>
    <w:rsid w:val="00827E56"/>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592"/>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2C73"/>
    <w:rsid w:val="00864C20"/>
    <w:rsid w:val="00865E50"/>
    <w:rsid w:val="00865F2C"/>
    <w:rsid w:val="00866621"/>
    <w:rsid w:val="00866954"/>
    <w:rsid w:val="00866E4F"/>
    <w:rsid w:val="00866E62"/>
    <w:rsid w:val="00866F79"/>
    <w:rsid w:val="0086779A"/>
    <w:rsid w:val="00867ACE"/>
    <w:rsid w:val="00867F70"/>
    <w:rsid w:val="008704D8"/>
    <w:rsid w:val="0087275D"/>
    <w:rsid w:val="008728C7"/>
    <w:rsid w:val="00872D3C"/>
    <w:rsid w:val="00873ACE"/>
    <w:rsid w:val="00874077"/>
    <w:rsid w:val="00874855"/>
    <w:rsid w:val="00875EEC"/>
    <w:rsid w:val="00876111"/>
    <w:rsid w:val="00876260"/>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15EB"/>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3F93"/>
    <w:rsid w:val="008D40E6"/>
    <w:rsid w:val="008D41DC"/>
    <w:rsid w:val="008D4224"/>
    <w:rsid w:val="008D47D9"/>
    <w:rsid w:val="008D4C6E"/>
    <w:rsid w:val="008D54A8"/>
    <w:rsid w:val="008D55B2"/>
    <w:rsid w:val="008D5827"/>
    <w:rsid w:val="008D66BA"/>
    <w:rsid w:val="008D7FFB"/>
    <w:rsid w:val="008E00D2"/>
    <w:rsid w:val="008E0AB5"/>
    <w:rsid w:val="008E0F0C"/>
    <w:rsid w:val="008E1A58"/>
    <w:rsid w:val="008E2EF9"/>
    <w:rsid w:val="008E4379"/>
    <w:rsid w:val="008E46A4"/>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4E4B"/>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4EED"/>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6E9"/>
    <w:rsid w:val="0095372E"/>
    <w:rsid w:val="00953F29"/>
    <w:rsid w:val="00954A4D"/>
    <w:rsid w:val="009563A3"/>
    <w:rsid w:val="00956630"/>
    <w:rsid w:val="00957C78"/>
    <w:rsid w:val="00960C1A"/>
    <w:rsid w:val="00960F73"/>
    <w:rsid w:val="009611B8"/>
    <w:rsid w:val="0096196E"/>
    <w:rsid w:val="0096266E"/>
    <w:rsid w:val="009629BB"/>
    <w:rsid w:val="00963062"/>
    <w:rsid w:val="00963980"/>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0647"/>
    <w:rsid w:val="009A1ED0"/>
    <w:rsid w:val="009A37B3"/>
    <w:rsid w:val="009A3B8A"/>
    <w:rsid w:val="009A40F9"/>
    <w:rsid w:val="009A413C"/>
    <w:rsid w:val="009A45DA"/>
    <w:rsid w:val="009A5854"/>
    <w:rsid w:val="009A6082"/>
    <w:rsid w:val="009A715C"/>
    <w:rsid w:val="009A7A47"/>
    <w:rsid w:val="009A7D00"/>
    <w:rsid w:val="009A7E04"/>
    <w:rsid w:val="009B0494"/>
    <w:rsid w:val="009B262A"/>
    <w:rsid w:val="009B29D5"/>
    <w:rsid w:val="009B2AF7"/>
    <w:rsid w:val="009B2DF8"/>
    <w:rsid w:val="009B32B8"/>
    <w:rsid w:val="009B4359"/>
    <w:rsid w:val="009B4EA0"/>
    <w:rsid w:val="009B5DA8"/>
    <w:rsid w:val="009B72F9"/>
    <w:rsid w:val="009B77A7"/>
    <w:rsid w:val="009C091F"/>
    <w:rsid w:val="009C0EE1"/>
    <w:rsid w:val="009C0F68"/>
    <w:rsid w:val="009C2553"/>
    <w:rsid w:val="009C347A"/>
    <w:rsid w:val="009C3A01"/>
    <w:rsid w:val="009C4A98"/>
    <w:rsid w:val="009C50E8"/>
    <w:rsid w:val="009C54FE"/>
    <w:rsid w:val="009C56C6"/>
    <w:rsid w:val="009C570A"/>
    <w:rsid w:val="009C6612"/>
    <w:rsid w:val="009C6FD0"/>
    <w:rsid w:val="009C70C2"/>
    <w:rsid w:val="009C72C0"/>
    <w:rsid w:val="009C78FF"/>
    <w:rsid w:val="009D1EAC"/>
    <w:rsid w:val="009D2654"/>
    <w:rsid w:val="009D36FD"/>
    <w:rsid w:val="009D3A89"/>
    <w:rsid w:val="009D4634"/>
    <w:rsid w:val="009D4A13"/>
    <w:rsid w:val="009D5485"/>
    <w:rsid w:val="009D6196"/>
    <w:rsid w:val="009D6532"/>
    <w:rsid w:val="009D7BDD"/>
    <w:rsid w:val="009D7BF1"/>
    <w:rsid w:val="009E1DE1"/>
    <w:rsid w:val="009E4743"/>
    <w:rsid w:val="009E49A5"/>
    <w:rsid w:val="009E49D8"/>
    <w:rsid w:val="009E4DF5"/>
    <w:rsid w:val="009E4F10"/>
    <w:rsid w:val="009E59CA"/>
    <w:rsid w:val="009E5A83"/>
    <w:rsid w:val="009E5B35"/>
    <w:rsid w:val="009E5B6E"/>
    <w:rsid w:val="009E660E"/>
    <w:rsid w:val="009E7BF5"/>
    <w:rsid w:val="009F0B4B"/>
    <w:rsid w:val="009F0CD1"/>
    <w:rsid w:val="009F1082"/>
    <w:rsid w:val="009F1269"/>
    <w:rsid w:val="009F15C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A64"/>
    <w:rsid w:val="00A02C47"/>
    <w:rsid w:val="00A02E2F"/>
    <w:rsid w:val="00A034F5"/>
    <w:rsid w:val="00A03F50"/>
    <w:rsid w:val="00A0513C"/>
    <w:rsid w:val="00A05CF8"/>
    <w:rsid w:val="00A05EC8"/>
    <w:rsid w:val="00A064FD"/>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3A7"/>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A6A"/>
    <w:rsid w:val="00A37A7F"/>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4DB"/>
    <w:rsid w:val="00A51DB5"/>
    <w:rsid w:val="00A51F1F"/>
    <w:rsid w:val="00A533BD"/>
    <w:rsid w:val="00A536C9"/>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0CC4"/>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522"/>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6C99"/>
    <w:rsid w:val="00AB72BF"/>
    <w:rsid w:val="00AB7451"/>
    <w:rsid w:val="00AB7884"/>
    <w:rsid w:val="00AB7BE2"/>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3AC2"/>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3"/>
    <w:rsid w:val="00AF428F"/>
    <w:rsid w:val="00AF4B3B"/>
    <w:rsid w:val="00AF5D47"/>
    <w:rsid w:val="00AF6266"/>
    <w:rsid w:val="00AF64CD"/>
    <w:rsid w:val="00B003A8"/>
    <w:rsid w:val="00B011F2"/>
    <w:rsid w:val="00B01309"/>
    <w:rsid w:val="00B01995"/>
    <w:rsid w:val="00B01A89"/>
    <w:rsid w:val="00B0254F"/>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8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424A"/>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5B8"/>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830"/>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58A"/>
    <w:rsid w:val="00C36DFD"/>
    <w:rsid w:val="00C3715F"/>
    <w:rsid w:val="00C37474"/>
    <w:rsid w:val="00C40107"/>
    <w:rsid w:val="00C40A7D"/>
    <w:rsid w:val="00C412E9"/>
    <w:rsid w:val="00C418F0"/>
    <w:rsid w:val="00C41C1F"/>
    <w:rsid w:val="00C41D75"/>
    <w:rsid w:val="00C41FAA"/>
    <w:rsid w:val="00C4290A"/>
    <w:rsid w:val="00C43400"/>
    <w:rsid w:val="00C43D50"/>
    <w:rsid w:val="00C44308"/>
    <w:rsid w:val="00C45F63"/>
    <w:rsid w:val="00C460B7"/>
    <w:rsid w:val="00C463C0"/>
    <w:rsid w:val="00C50A52"/>
    <w:rsid w:val="00C5102B"/>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57FF0"/>
    <w:rsid w:val="00C606EE"/>
    <w:rsid w:val="00C60ADE"/>
    <w:rsid w:val="00C612EB"/>
    <w:rsid w:val="00C61AE3"/>
    <w:rsid w:val="00C61B70"/>
    <w:rsid w:val="00C62EEC"/>
    <w:rsid w:val="00C63DC4"/>
    <w:rsid w:val="00C64CCD"/>
    <w:rsid w:val="00C64EA5"/>
    <w:rsid w:val="00C65082"/>
    <w:rsid w:val="00C65889"/>
    <w:rsid w:val="00C65B5B"/>
    <w:rsid w:val="00C65CF4"/>
    <w:rsid w:val="00C65E2D"/>
    <w:rsid w:val="00C66579"/>
    <w:rsid w:val="00C667E7"/>
    <w:rsid w:val="00C67D4F"/>
    <w:rsid w:val="00C67FCD"/>
    <w:rsid w:val="00C706BC"/>
    <w:rsid w:val="00C70934"/>
    <w:rsid w:val="00C7235C"/>
    <w:rsid w:val="00C72CC0"/>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4AE6"/>
    <w:rsid w:val="00C8500F"/>
    <w:rsid w:val="00C856FB"/>
    <w:rsid w:val="00C87012"/>
    <w:rsid w:val="00C8741D"/>
    <w:rsid w:val="00C87F19"/>
    <w:rsid w:val="00C9092D"/>
    <w:rsid w:val="00C909EF"/>
    <w:rsid w:val="00C90DE6"/>
    <w:rsid w:val="00C910CE"/>
    <w:rsid w:val="00C91610"/>
    <w:rsid w:val="00C9425B"/>
    <w:rsid w:val="00C948E6"/>
    <w:rsid w:val="00C94A76"/>
    <w:rsid w:val="00C9532E"/>
    <w:rsid w:val="00C95985"/>
    <w:rsid w:val="00C959F6"/>
    <w:rsid w:val="00C96E06"/>
    <w:rsid w:val="00C971AE"/>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16F"/>
    <w:rsid w:val="00CE4922"/>
    <w:rsid w:val="00CE5447"/>
    <w:rsid w:val="00CE602A"/>
    <w:rsid w:val="00CE6A26"/>
    <w:rsid w:val="00CE6A72"/>
    <w:rsid w:val="00CE722F"/>
    <w:rsid w:val="00CE7735"/>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2E77"/>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37D9C"/>
    <w:rsid w:val="00D40B8E"/>
    <w:rsid w:val="00D41BE5"/>
    <w:rsid w:val="00D424F2"/>
    <w:rsid w:val="00D42BAC"/>
    <w:rsid w:val="00D44CE6"/>
    <w:rsid w:val="00D44ED3"/>
    <w:rsid w:val="00D4591C"/>
    <w:rsid w:val="00D45CC4"/>
    <w:rsid w:val="00D46448"/>
    <w:rsid w:val="00D46559"/>
    <w:rsid w:val="00D4692B"/>
    <w:rsid w:val="00D4697D"/>
    <w:rsid w:val="00D4698B"/>
    <w:rsid w:val="00D46F4C"/>
    <w:rsid w:val="00D47FDB"/>
    <w:rsid w:val="00D509FA"/>
    <w:rsid w:val="00D5208A"/>
    <w:rsid w:val="00D526C5"/>
    <w:rsid w:val="00D52963"/>
    <w:rsid w:val="00D5305F"/>
    <w:rsid w:val="00D532C8"/>
    <w:rsid w:val="00D545A7"/>
    <w:rsid w:val="00D548C9"/>
    <w:rsid w:val="00D54A3C"/>
    <w:rsid w:val="00D54D78"/>
    <w:rsid w:val="00D55083"/>
    <w:rsid w:val="00D5603E"/>
    <w:rsid w:val="00D561FC"/>
    <w:rsid w:val="00D56DA7"/>
    <w:rsid w:val="00D57CB1"/>
    <w:rsid w:val="00D6077D"/>
    <w:rsid w:val="00D60C12"/>
    <w:rsid w:val="00D60E7F"/>
    <w:rsid w:val="00D6161F"/>
    <w:rsid w:val="00D61C10"/>
    <w:rsid w:val="00D62002"/>
    <w:rsid w:val="00D62B9A"/>
    <w:rsid w:val="00D62E96"/>
    <w:rsid w:val="00D63051"/>
    <w:rsid w:val="00D63811"/>
    <w:rsid w:val="00D638CD"/>
    <w:rsid w:val="00D638E2"/>
    <w:rsid w:val="00D639F3"/>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15B9"/>
    <w:rsid w:val="00D726FC"/>
    <w:rsid w:val="00D7290F"/>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D7D85"/>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E7B2A"/>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0F5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319"/>
    <w:rsid w:val="00E427A3"/>
    <w:rsid w:val="00E42E5C"/>
    <w:rsid w:val="00E434BE"/>
    <w:rsid w:val="00E43FF5"/>
    <w:rsid w:val="00E44FFE"/>
    <w:rsid w:val="00E4568A"/>
    <w:rsid w:val="00E457DF"/>
    <w:rsid w:val="00E45E26"/>
    <w:rsid w:val="00E479A9"/>
    <w:rsid w:val="00E47FBE"/>
    <w:rsid w:val="00E5018C"/>
    <w:rsid w:val="00E50B46"/>
    <w:rsid w:val="00E51614"/>
    <w:rsid w:val="00E519F6"/>
    <w:rsid w:val="00E52424"/>
    <w:rsid w:val="00E532E1"/>
    <w:rsid w:val="00E53501"/>
    <w:rsid w:val="00E548C6"/>
    <w:rsid w:val="00E5618E"/>
    <w:rsid w:val="00E566F2"/>
    <w:rsid w:val="00E57384"/>
    <w:rsid w:val="00E578EE"/>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35D4"/>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03E"/>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6C95"/>
    <w:rsid w:val="00EA7325"/>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5DF2"/>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4B8C"/>
    <w:rsid w:val="00F25B38"/>
    <w:rsid w:val="00F25D98"/>
    <w:rsid w:val="00F265BC"/>
    <w:rsid w:val="00F26D9D"/>
    <w:rsid w:val="00F26EB0"/>
    <w:rsid w:val="00F26F13"/>
    <w:rsid w:val="00F270FC"/>
    <w:rsid w:val="00F27770"/>
    <w:rsid w:val="00F300FB"/>
    <w:rsid w:val="00F30810"/>
    <w:rsid w:val="00F3191C"/>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6F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35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84B"/>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4592"/>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3EA5"/>
    <w:rsid w:val="00FC4814"/>
    <w:rsid w:val="00FC4D53"/>
    <w:rsid w:val="00FC4F4B"/>
    <w:rsid w:val="00FC5555"/>
    <w:rsid w:val="00FC55A9"/>
    <w:rsid w:val="00FC55BA"/>
    <w:rsid w:val="00FC5D65"/>
    <w:rsid w:val="00FC6878"/>
    <w:rsid w:val="00FC790C"/>
    <w:rsid w:val="00FD0FC1"/>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24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4">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01204">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534184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938C5-782A-4839-8065-990B7B92A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1045</Words>
  <Characters>5958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2017-08-08T08:41:00Z</dcterms:created>
  <dcterms:modified xsi:type="dcterms:W3CDTF">2017-08-11T12:47:00Z</dcterms:modified>
</cp:coreProperties>
</file>